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2C1D9" w14:textId="77777777" w:rsidR="00790C3D" w:rsidRPr="007205A4" w:rsidRDefault="00790C3D" w:rsidP="00790C3D">
      <w:pPr>
        <w:jc w:val="center"/>
        <w:rPr>
          <w:sz w:val="22"/>
          <w:szCs w:val="22"/>
        </w:rPr>
      </w:pPr>
      <w:r w:rsidRPr="007205A4">
        <w:rPr>
          <w:sz w:val="22"/>
          <w:szCs w:val="22"/>
        </w:rPr>
        <w:t>LIMITED USE AGREEMENT</w:t>
      </w:r>
    </w:p>
    <w:p w14:paraId="75F3881B" w14:textId="77777777" w:rsidR="00790C3D" w:rsidRPr="007205A4" w:rsidRDefault="00790C3D" w:rsidP="00790C3D">
      <w:pPr>
        <w:spacing w:before="100" w:after="100"/>
        <w:jc w:val="center"/>
        <w:rPr>
          <w:b/>
          <w:bCs/>
          <w:sz w:val="22"/>
          <w:szCs w:val="22"/>
        </w:rPr>
      </w:pPr>
      <w:r w:rsidRPr="007205A4">
        <w:rPr>
          <w:b/>
          <w:bCs/>
          <w:color w:val="000000"/>
          <w:sz w:val="22"/>
          <w:szCs w:val="22"/>
        </w:rPr>
        <w:t xml:space="preserve">IMPORTANT INFORMATION REGARDING </w:t>
      </w:r>
      <w:r w:rsidRPr="007205A4">
        <w:rPr>
          <w:b/>
          <w:bCs/>
          <w:color w:val="000000"/>
          <w:sz w:val="22"/>
          <w:szCs w:val="22"/>
        </w:rPr>
        <w:br/>
        <w:t>THE SAMPLE INVESTMENT PLAN, INVESTMENT POLICY STATEMENT (IPS) AND ADVANCED PLAN</w:t>
      </w:r>
    </w:p>
    <w:p w14:paraId="1AB971B1" w14:textId="77777777" w:rsidR="00790C3D" w:rsidRPr="007205A4" w:rsidRDefault="00790C3D" w:rsidP="00790C3D">
      <w:pPr>
        <w:rPr>
          <w:b/>
          <w:bCs/>
          <w:color w:val="000000"/>
          <w:sz w:val="22"/>
          <w:szCs w:val="22"/>
        </w:rPr>
      </w:pPr>
    </w:p>
    <w:p w14:paraId="574B4CC5" w14:textId="77777777" w:rsidR="00790C3D" w:rsidRPr="007205A4" w:rsidRDefault="00790C3D" w:rsidP="00790C3D">
      <w:pPr>
        <w:rPr>
          <w:color w:val="000000"/>
          <w:sz w:val="22"/>
          <w:szCs w:val="22"/>
        </w:rPr>
      </w:pPr>
      <w:r w:rsidRPr="007205A4">
        <w:rPr>
          <w:b/>
          <w:bCs/>
          <w:color w:val="000000"/>
          <w:sz w:val="22"/>
          <w:szCs w:val="22"/>
        </w:rPr>
        <w:t xml:space="preserve">The sample investment plan, IPS and advanced plan is for instructional purposes only. </w:t>
      </w:r>
      <w:r w:rsidRPr="007205A4">
        <w:rPr>
          <w:color w:val="000000"/>
          <w:sz w:val="22"/>
          <w:szCs w:val="22"/>
        </w:rPr>
        <w:t>It is very important that you review these documents with your compliance department before presenting them to a client.</w:t>
      </w:r>
    </w:p>
    <w:p w14:paraId="7ECD079D" w14:textId="77777777" w:rsidR="00790C3D" w:rsidRPr="007205A4" w:rsidRDefault="00790C3D" w:rsidP="00790C3D">
      <w:pPr>
        <w:rPr>
          <w:b/>
          <w:sz w:val="22"/>
          <w:szCs w:val="22"/>
        </w:rPr>
      </w:pPr>
    </w:p>
    <w:p w14:paraId="1AAA2160" w14:textId="77777777" w:rsidR="00790C3D" w:rsidRPr="007205A4" w:rsidRDefault="00790C3D" w:rsidP="00790C3D">
      <w:pPr>
        <w:rPr>
          <w:b/>
          <w:sz w:val="22"/>
          <w:szCs w:val="22"/>
        </w:rPr>
      </w:pPr>
      <w:r w:rsidRPr="007205A4">
        <w:rPr>
          <w:b/>
          <w:sz w:val="22"/>
          <w:szCs w:val="22"/>
        </w:rPr>
        <w:t xml:space="preserve">The information contained in this sample investment plan, IPS and advanced plan should not be construed as providing investment, legal, accounting and/or tax advice. </w:t>
      </w:r>
    </w:p>
    <w:p w14:paraId="0BCF25C9" w14:textId="77777777" w:rsidR="00790C3D" w:rsidRPr="007205A4" w:rsidRDefault="00790C3D" w:rsidP="00790C3D">
      <w:pPr>
        <w:rPr>
          <w:b/>
          <w:sz w:val="22"/>
          <w:szCs w:val="22"/>
        </w:rPr>
      </w:pPr>
    </w:p>
    <w:p w14:paraId="24E9558E" w14:textId="77777777" w:rsidR="00790C3D" w:rsidRPr="007205A4" w:rsidRDefault="00790C3D" w:rsidP="00790C3D">
      <w:pPr>
        <w:rPr>
          <w:b/>
          <w:sz w:val="22"/>
          <w:szCs w:val="22"/>
        </w:rPr>
      </w:pPr>
      <w:r w:rsidRPr="007205A4">
        <w:rPr>
          <w:b/>
          <w:sz w:val="22"/>
          <w:szCs w:val="22"/>
        </w:rPr>
        <w:t xml:space="preserve">Recommendations are for illustrative purposes only. </w:t>
      </w:r>
    </w:p>
    <w:p w14:paraId="2683F1A5" w14:textId="77777777" w:rsidR="00790C3D" w:rsidRPr="007205A4" w:rsidRDefault="00790C3D" w:rsidP="00790C3D">
      <w:pPr>
        <w:rPr>
          <w:b/>
          <w:bCs/>
          <w:color w:val="000000"/>
          <w:sz w:val="22"/>
          <w:szCs w:val="22"/>
        </w:rPr>
      </w:pPr>
    </w:p>
    <w:p w14:paraId="2ED9FE3D" w14:textId="77777777" w:rsidR="00790C3D" w:rsidRPr="007205A4" w:rsidRDefault="00790C3D" w:rsidP="00790C3D">
      <w:pPr>
        <w:rPr>
          <w:color w:val="000000"/>
          <w:sz w:val="22"/>
          <w:szCs w:val="22"/>
        </w:rPr>
      </w:pPr>
      <w:r w:rsidRPr="007205A4">
        <w:rPr>
          <w:b/>
          <w:bCs/>
          <w:color w:val="000000"/>
          <w:sz w:val="22"/>
          <w:szCs w:val="22"/>
        </w:rPr>
        <w:t xml:space="preserve">The sample investment plan, IPS and advanced plan can and should be customized by you. </w:t>
      </w:r>
      <w:r w:rsidRPr="007205A4">
        <w:rPr>
          <w:color w:val="000000"/>
          <w:sz w:val="22"/>
          <w:szCs w:val="22"/>
        </w:rPr>
        <w:t>This sample may be customized to fit the needs of your firm. However, do not remove or alter any of the statistical or footnoted information.</w:t>
      </w:r>
    </w:p>
    <w:p w14:paraId="7BFB45F2" w14:textId="77777777" w:rsidR="00790C3D" w:rsidRPr="007205A4" w:rsidRDefault="00790C3D" w:rsidP="00790C3D">
      <w:pPr>
        <w:rPr>
          <w:b/>
          <w:bCs/>
          <w:color w:val="000000"/>
          <w:sz w:val="22"/>
          <w:szCs w:val="22"/>
        </w:rPr>
      </w:pPr>
    </w:p>
    <w:p w14:paraId="71B7424F" w14:textId="77777777" w:rsidR="00790C3D" w:rsidRPr="007205A4" w:rsidRDefault="00790C3D" w:rsidP="00790C3D">
      <w:pPr>
        <w:rPr>
          <w:color w:val="000000"/>
          <w:sz w:val="22"/>
          <w:szCs w:val="22"/>
        </w:rPr>
      </w:pPr>
      <w:r w:rsidRPr="007205A4">
        <w:rPr>
          <w:b/>
          <w:bCs/>
          <w:color w:val="000000"/>
          <w:sz w:val="22"/>
          <w:szCs w:val="22"/>
        </w:rPr>
        <w:t xml:space="preserve">The sample investment plan, IPS and advanced plan is for coaching participants only. </w:t>
      </w:r>
      <w:r w:rsidRPr="007205A4">
        <w:rPr>
          <w:color w:val="000000"/>
          <w:sz w:val="22"/>
          <w:szCs w:val="22"/>
        </w:rPr>
        <w:t xml:space="preserve">As a participant in CEG Worldwide’s coaching program, you are receiving a limited use license to use this intellectual property. You may use it for your own practice and you may customize it for your practice’s unique needs. In the age of digital information, it is easy and tempting to share this with others. </w:t>
      </w:r>
      <w:r w:rsidRPr="007205A4">
        <w:rPr>
          <w:b/>
          <w:bCs/>
          <w:color w:val="000000"/>
          <w:sz w:val="22"/>
          <w:szCs w:val="22"/>
        </w:rPr>
        <w:t xml:space="preserve">However, you may not share these digital files with another colleague. </w:t>
      </w:r>
      <w:r w:rsidRPr="007205A4">
        <w:rPr>
          <w:color w:val="000000"/>
          <w:sz w:val="22"/>
          <w:szCs w:val="22"/>
        </w:rPr>
        <w:t>The intellectual property CEG Worldwide creates is very valuable to our firm. By using the sample investment plan, IPS and advanced plan, you agree to these terms.</w:t>
      </w:r>
    </w:p>
    <w:p w14:paraId="1E77B209" w14:textId="77777777" w:rsidR="00790C3D" w:rsidRPr="007205A4" w:rsidRDefault="00790C3D" w:rsidP="00790C3D">
      <w:pPr>
        <w:rPr>
          <w:b/>
          <w:bCs/>
          <w:color w:val="000000"/>
          <w:sz w:val="22"/>
          <w:szCs w:val="22"/>
        </w:rPr>
      </w:pPr>
    </w:p>
    <w:p w14:paraId="70F5B4F2" w14:textId="77777777" w:rsidR="00790C3D" w:rsidRPr="007205A4" w:rsidRDefault="00790C3D" w:rsidP="00790C3D">
      <w:pPr>
        <w:rPr>
          <w:b/>
          <w:bCs/>
          <w:color w:val="000000"/>
          <w:sz w:val="22"/>
          <w:szCs w:val="22"/>
        </w:rPr>
      </w:pPr>
      <w:r w:rsidRPr="007205A4">
        <w:rPr>
          <w:b/>
          <w:bCs/>
          <w:color w:val="000000"/>
          <w:sz w:val="22"/>
          <w:szCs w:val="22"/>
        </w:rPr>
        <w:t>If you have any questions about the sample investment plan, IPS or advanced plan or your rights to use this investment plan, IPS and advanced plan, please contact CEG Worldwide, LLC:</w:t>
      </w:r>
    </w:p>
    <w:p w14:paraId="1D2B922A" w14:textId="77777777" w:rsidR="00790C3D" w:rsidRPr="007205A4" w:rsidRDefault="00790C3D" w:rsidP="00790C3D">
      <w:pPr>
        <w:rPr>
          <w:color w:val="000000"/>
          <w:sz w:val="22"/>
          <w:szCs w:val="22"/>
        </w:rPr>
      </w:pPr>
    </w:p>
    <w:p w14:paraId="2B931E9D" w14:textId="77777777" w:rsidR="00790C3D" w:rsidRPr="007205A4" w:rsidRDefault="00790C3D" w:rsidP="00790C3D">
      <w:pPr>
        <w:rPr>
          <w:color w:val="000000"/>
          <w:sz w:val="22"/>
          <w:szCs w:val="22"/>
        </w:rPr>
      </w:pPr>
      <w:r w:rsidRPr="007205A4">
        <w:rPr>
          <w:color w:val="0000FF"/>
          <w:sz w:val="22"/>
          <w:szCs w:val="22"/>
          <w:u w:val="single"/>
        </w:rPr>
        <w:t>info@cegworldwide.com</w:t>
      </w:r>
    </w:p>
    <w:p w14:paraId="460A4035" w14:textId="77777777" w:rsidR="00790C3D" w:rsidRPr="007205A4" w:rsidRDefault="00790C3D" w:rsidP="00790C3D">
      <w:pPr>
        <w:rPr>
          <w:color w:val="000000"/>
          <w:sz w:val="22"/>
          <w:szCs w:val="22"/>
        </w:rPr>
      </w:pPr>
      <w:r w:rsidRPr="007205A4">
        <w:rPr>
          <w:color w:val="000000"/>
          <w:sz w:val="22"/>
          <w:szCs w:val="22"/>
        </w:rPr>
        <w:t>(888) 551-3824</w:t>
      </w:r>
    </w:p>
    <w:p w14:paraId="124DFC8F" w14:textId="77777777" w:rsidR="00790C3D" w:rsidRPr="007205A4" w:rsidRDefault="00790C3D" w:rsidP="00790C3D">
      <w:pPr>
        <w:rPr>
          <w:color w:val="000000"/>
          <w:sz w:val="22"/>
          <w:szCs w:val="22"/>
        </w:rPr>
      </w:pPr>
      <w:r w:rsidRPr="007205A4">
        <w:rPr>
          <w:color w:val="000000"/>
          <w:sz w:val="22"/>
          <w:szCs w:val="22"/>
        </w:rPr>
        <w:t xml:space="preserve"> </w:t>
      </w:r>
    </w:p>
    <w:p w14:paraId="54DEC27B" w14:textId="77777777" w:rsidR="00790C3D" w:rsidRPr="007205A4" w:rsidRDefault="00790C3D" w:rsidP="00790C3D">
      <w:pPr>
        <w:rPr>
          <w:color w:val="000000"/>
          <w:sz w:val="22"/>
          <w:szCs w:val="22"/>
        </w:rPr>
      </w:pPr>
      <w:r w:rsidRPr="007205A4">
        <w:rPr>
          <w:color w:val="000000"/>
          <w:sz w:val="22"/>
          <w:szCs w:val="22"/>
        </w:rPr>
        <w:t>CEG Worldwide, LLC</w:t>
      </w:r>
    </w:p>
    <w:p w14:paraId="00D7BBEF" w14:textId="77777777" w:rsidR="00790C3D" w:rsidRPr="007205A4" w:rsidRDefault="00790C3D" w:rsidP="00790C3D">
      <w:pPr>
        <w:rPr>
          <w:color w:val="000000"/>
          <w:sz w:val="22"/>
          <w:szCs w:val="22"/>
        </w:rPr>
      </w:pPr>
      <w:r w:rsidRPr="007205A4">
        <w:rPr>
          <w:color w:val="000000"/>
          <w:sz w:val="22"/>
          <w:szCs w:val="22"/>
        </w:rPr>
        <w:t>1954 Hayes Lane</w:t>
      </w:r>
    </w:p>
    <w:p w14:paraId="6F516BBB" w14:textId="77777777" w:rsidR="00790C3D" w:rsidRDefault="00790C3D" w:rsidP="00790C3D">
      <w:pPr>
        <w:rPr>
          <w:color w:val="000000"/>
          <w:sz w:val="22"/>
          <w:szCs w:val="22"/>
        </w:rPr>
      </w:pPr>
      <w:r w:rsidRPr="007205A4">
        <w:rPr>
          <w:color w:val="000000"/>
          <w:sz w:val="22"/>
          <w:szCs w:val="22"/>
        </w:rPr>
        <w:t>San Martin, CA 95046</w:t>
      </w:r>
    </w:p>
    <w:p w14:paraId="219ECFB6" w14:textId="77777777" w:rsidR="00790C3D" w:rsidRDefault="00790C3D" w:rsidP="00790C3D">
      <w:pPr>
        <w:rPr>
          <w:color w:val="000000"/>
          <w:sz w:val="22"/>
          <w:szCs w:val="22"/>
        </w:rPr>
      </w:pPr>
    </w:p>
    <w:p w14:paraId="649331FC" w14:textId="77777777" w:rsidR="00790C3D" w:rsidRDefault="00790C3D" w:rsidP="00790C3D">
      <w:pPr>
        <w:rPr>
          <w:color w:val="000000"/>
          <w:sz w:val="22"/>
          <w:szCs w:val="22"/>
        </w:rPr>
        <w:sectPr w:rsidR="00790C3D" w:rsidSect="00790C3D">
          <w:headerReference w:type="default" r:id="rId8"/>
          <w:footerReference w:type="even" r:id="rId9"/>
          <w:footerReference w:type="default" r:id="rId10"/>
          <w:pgSz w:w="12240" w:h="15840" w:code="1"/>
          <w:pgMar w:top="1440" w:right="1800" w:bottom="1440" w:left="1800" w:header="720" w:footer="720" w:gutter="0"/>
          <w:cols w:space="720"/>
          <w:noEndnote/>
          <w:titlePg/>
        </w:sectPr>
      </w:pPr>
    </w:p>
    <w:p w14:paraId="7DF18B93" w14:textId="77777777" w:rsidR="00790C3D" w:rsidRPr="007205A4" w:rsidRDefault="00790C3D" w:rsidP="00790C3D">
      <w:pPr>
        <w:rPr>
          <w:color w:val="000000"/>
          <w:sz w:val="22"/>
          <w:szCs w:val="22"/>
        </w:rPr>
      </w:pPr>
    </w:p>
    <w:p w14:paraId="36849059" w14:textId="77777777" w:rsidR="0074301D" w:rsidRPr="00AC2FE5" w:rsidRDefault="0074301D" w:rsidP="0074301D"/>
    <w:p w14:paraId="16A2693F" w14:textId="77777777" w:rsidR="0074301D" w:rsidRPr="00AC2FE5" w:rsidRDefault="0074301D" w:rsidP="0074301D">
      <w:pPr>
        <w:rPr>
          <w:rFonts w:cs="Times New Roman"/>
          <w:b/>
          <w:bCs/>
        </w:rPr>
      </w:pPr>
    </w:p>
    <w:p w14:paraId="6FAC513A" w14:textId="77777777" w:rsidR="0074301D" w:rsidRPr="00AC2FE5" w:rsidRDefault="0074301D" w:rsidP="0074301D">
      <w:pPr>
        <w:rPr>
          <w:rFonts w:cs="Times New Roman"/>
          <w:b/>
          <w:bCs/>
        </w:rPr>
      </w:pPr>
    </w:p>
    <w:p w14:paraId="40B518E1" w14:textId="77777777" w:rsidR="0074301D" w:rsidRPr="00AC2FE5" w:rsidRDefault="0074301D" w:rsidP="0074301D">
      <w:pPr>
        <w:rPr>
          <w:rFonts w:cs="Times New Roman"/>
          <w:b/>
          <w:bCs/>
        </w:rPr>
      </w:pPr>
    </w:p>
    <w:p w14:paraId="7E883E7C" w14:textId="77777777" w:rsidR="0074301D" w:rsidRPr="00AC2FE5" w:rsidRDefault="0074301D" w:rsidP="0074301D">
      <w:pPr>
        <w:rPr>
          <w:rFonts w:cs="Times New Roman"/>
          <w:b/>
          <w:bCs/>
        </w:rPr>
      </w:pPr>
    </w:p>
    <w:p w14:paraId="4BD21794" w14:textId="77777777" w:rsidR="0074301D" w:rsidRPr="00AC2FE5" w:rsidRDefault="0074301D" w:rsidP="0074301D">
      <w:pPr>
        <w:rPr>
          <w:rFonts w:cs="Times New Roman"/>
          <w:b/>
          <w:bCs/>
        </w:rPr>
      </w:pPr>
    </w:p>
    <w:p w14:paraId="55DF5E68" w14:textId="77777777" w:rsidR="0074301D" w:rsidRPr="00AC2FE5" w:rsidRDefault="0074301D" w:rsidP="0074301D">
      <w:pPr>
        <w:rPr>
          <w:rFonts w:cs="Times New Roman"/>
          <w:b/>
          <w:bCs/>
        </w:rPr>
      </w:pPr>
    </w:p>
    <w:p w14:paraId="7535AD38" w14:textId="77777777" w:rsidR="0074301D" w:rsidRPr="00AC2FE5" w:rsidRDefault="0074301D" w:rsidP="0074301D">
      <w:pPr>
        <w:rPr>
          <w:rFonts w:cs="Times New Roman"/>
          <w:b/>
          <w:bCs/>
        </w:rPr>
      </w:pPr>
    </w:p>
    <w:p w14:paraId="27433DB3" w14:textId="77777777" w:rsidR="0074301D" w:rsidRPr="00AC2FE5" w:rsidRDefault="0074301D" w:rsidP="0074301D">
      <w:pPr>
        <w:rPr>
          <w:rFonts w:cs="Times New Roman"/>
          <w:b/>
          <w:bCs/>
        </w:rPr>
      </w:pPr>
    </w:p>
    <w:p w14:paraId="59A2B559" w14:textId="77777777" w:rsidR="0074301D" w:rsidRPr="00AC2FE5" w:rsidRDefault="0074301D" w:rsidP="0074301D">
      <w:pPr>
        <w:rPr>
          <w:rFonts w:cs="Times New Roman"/>
          <w:b/>
          <w:bCs/>
        </w:rPr>
      </w:pPr>
    </w:p>
    <w:p w14:paraId="5213EF72" w14:textId="77777777" w:rsidR="0074301D" w:rsidRPr="00AC2FE5" w:rsidRDefault="0074301D" w:rsidP="0074301D">
      <w:pPr>
        <w:rPr>
          <w:rFonts w:cs="Times New Roman"/>
          <w:b/>
          <w:bCs/>
        </w:rPr>
      </w:pPr>
    </w:p>
    <w:p w14:paraId="61D5D9A1" w14:textId="77777777" w:rsidR="0074301D" w:rsidRPr="00AC2FE5" w:rsidRDefault="0074301D" w:rsidP="0074301D">
      <w:pPr>
        <w:rPr>
          <w:rFonts w:cs="Times New Roman"/>
          <w:b/>
          <w:bCs/>
        </w:rPr>
      </w:pPr>
    </w:p>
    <w:p w14:paraId="640AE0EF" w14:textId="77777777" w:rsidR="0074301D" w:rsidRPr="00AC2FE5" w:rsidRDefault="0074301D" w:rsidP="0074301D">
      <w:pPr>
        <w:rPr>
          <w:rFonts w:cs="Times New Roman"/>
          <w:b/>
          <w:bCs/>
        </w:rPr>
      </w:pPr>
    </w:p>
    <w:p w14:paraId="10641CCD" w14:textId="77777777" w:rsidR="0074301D" w:rsidRPr="00AC2FE5" w:rsidRDefault="0074301D" w:rsidP="0074301D">
      <w:pPr>
        <w:rPr>
          <w:rFonts w:cs="Times New Roman"/>
          <w:b/>
          <w:bCs/>
        </w:rPr>
      </w:pPr>
    </w:p>
    <w:p w14:paraId="6BB18E21" w14:textId="77777777" w:rsidR="0074301D" w:rsidRDefault="0074301D" w:rsidP="0074301D">
      <w:pPr>
        <w:rPr>
          <w:rFonts w:cs="Times New Roman"/>
          <w:b/>
          <w:bCs/>
          <w:sz w:val="36"/>
          <w:szCs w:val="36"/>
        </w:rPr>
      </w:pPr>
      <w:r>
        <w:rPr>
          <w:rFonts w:cs="Times New Roman"/>
          <w:b/>
          <w:bCs/>
          <w:sz w:val="36"/>
          <w:szCs w:val="36"/>
        </w:rPr>
        <w:t>Wealth Management Plan, Part Two:</w:t>
      </w:r>
    </w:p>
    <w:p w14:paraId="15A687E5" w14:textId="77777777" w:rsidR="0074301D" w:rsidRPr="00AC2FE5" w:rsidRDefault="0074301D" w:rsidP="0074301D">
      <w:pPr>
        <w:rPr>
          <w:rFonts w:cs="Times New Roman"/>
          <w:b/>
          <w:bCs/>
          <w:sz w:val="36"/>
          <w:szCs w:val="36"/>
        </w:rPr>
      </w:pPr>
      <w:r w:rsidRPr="00AC2FE5">
        <w:rPr>
          <w:rFonts w:cs="Times New Roman"/>
          <w:b/>
          <w:bCs/>
          <w:sz w:val="36"/>
          <w:szCs w:val="36"/>
        </w:rPr>
        <w:t>Investment Policy Statement</w:t>
      </w:r>
    </w:p>
    <w:p w14:paraId="30B81211" w14:textId="77777777" w:rsidR="0074301D" w:rsidRPr="00AC2FE5" w:rsidRDefault="0074301D" w:rsidP="0074301D">
      <w:pPr>
        <w:rPr>
          <w:rFonts w:cs="Times New Roman"/>
          <w:b/>
          <w:bCs/>
          <w:sz w:val="36"/>
          <w:szCs w:val="36"/>
        </w:rPr>
      </w:pPr>
    </w:p>
    <w:p w14:paraId="2099E0A8" w14:textId="77777777" w:rsidR="0074301D" w:rsidRPr="00AC2FE5" w:rsidRDefault="0074301D" w:rsidP="0074301D">
      <w:pPr>
        <w:rPr>
          <w:rFonts w:cs="Times New Roman"/>
          <w:b/>
          <w:bCs/>
          <w:sz w:val="36"/>
          <w:szCs w:val="36"/>
        </w:rPr>
      </w:pPr>
      <w:r w:rsidRPr="00AC2FE5">
        <w:rPr>
          <w:rFonts w:cs="Times New Roman"/>
          <w:b/>
          <w:bCs/>
          <w:sz w:val="36"/>
          <w:szCs w:val="36"/>
        </w:rPr>
        <w:t>Prepared for Mr. and Mrs. Affluent Client</w:t>
      </w:r>
    </w:p>
    <w:p w14:paraId="4A4C55A3" w14:textId="77777777" w:rsidR="0074301D" w:rsidRPr="00AC2FE5" w:rsidRDefault="0074301D" w:rsidP="0074301D">
      <w:pPr>
        <w:rPr>
          <w:rFonts w:cs="Times New Roman"/>
          <w:b/>
          <w:bCs/>
        </w:rPr>
      </w:pPr>
    </w:p>
    <w:p w14:paraId="6D7E286D" w14:textId="77777777" w:rsidR="0074301D" w:rsidRPr="00AC2FE5" w:rsidRDefault="0074301D" w:rsidP="0074301D">
      <w:pPr>
        <w:rPr>
          <w:rFonts w:cs="Times New Roman"/>
          <w:b/>
          <w:bCs/>
        </w:rPr>
      </w:pPr>
    </w:p>
    <w:p w14:paraId="1BE1D21D" w14:textId="28B16CCA" w:rsidR="0074301D" w:rsidRDefault="000D6694" w:rsidP="0074301D">
      <w:pPr>
        <w:rPr>
          <w:rFonts w:cs="Times New Roman"/>
          <w:b/>
          <w:bCs/>
          <w:sz w:val="28"/>
          <w:szCs w:val="28"/>
        </w:rPr>
      </w:pPr>
      <w:r>
        <w:rPr>
          <w:rFonts w:cs="Times New Roman"/>
          <w:b/>
          <w:bCs/>
          <w:sz w:val="28"/>
          <w:szCs w:val="28"/>
        </w:rPr>
        <w:t>March 1</w:t>
      </w:r>
      <w:r w:rsidR="0074301D">
        <w:rPr>
          <w:rFonts w:cs="Times New Roman"/>
          <w:b/>
          <w:bCs/>
          <w:sz w:val="28"/>
          <w:szCs w:val="28"/>
        </w:rPr>
        <w:t xml:space="preserve">, </w:t>
      </w:r>
      <w:r w:rsidR="0074301D" w:rsidRPr="005F171E">
        <w:rPr>
          <w:rFonts w:cs="Times New Roman"/>
          <w:b/>
          <w:bCs/>
          <w:sz w:val="28"/>
          <w:szCs w:val="28"/>
        </w:rPr>
        <w:t>20</w:t>
      </w:r>
      <w:r w:rsidR="006A3690">
        <w:rPr>
          <w:rFonts w:cs="Times New Roman"/>
          <w:b/>
          <w:bCs/>
          <w:sz w:val="28"/>
          <w:szCs w:val="28"/>
        </w:rPr>
        <w:t>20</w:t>
      </w:r>
    </w:p>
    <w:p w14:paraId="41466765" w14:textId="77777777" w:rsidR="0074301D" w:rsidRDefault="0074301D" w:rsidP="0074301D">
      <w:pPr>
        <w:rPr>
          <w:rFonts w:cs="Times New Roman"/>
          <w:b/>
          <w:bCs/>
          <w:sz w:val="28"/>
          <w:szCs w:val="28"/>
        </w:rPr>
      </w:pPr>
    </w:p>
    <w:p w14:paraId="44F964C2" w14:textId="77777777" w:rsidR="0074301D" w:rsidRDefault="0074301D" w:rsidP="0074301D">
      <w:pPr>
        <w:rPr>
          <w:rFonts w:cs="Times New Roman"/>
          <w:b/>
          <w:bCs/>
          <w:sz w:val="28"/>
          <w:szCs w:val="28"/>
        </w:rPr>
      </w:pPr>
    </w:p>
    <w:p w14:paraId="2E9B42DD" w14:textId="77777777" w:rsidR="0074301D" w:rsidRDefault="0074301D" w:rsidP="0074301D">
      <w:pPr>
        <w:rPr>
          <w:rFonts w:cs="Times New Roman"/>
          <w:b/>
          <w:bCs/>
          <w:sz w:val="28"/>
          <w:szCs w:val="28"/>
        </w:rPr>
      </w:pPr>
    </w:p>
    <w:p w14:paraId="1560F0B4" w14:textId="77777777" w:rsidR="0074301D" w:rsidRDefault="0074301D" w:rsidP="0074301D">
      <w:pPr>
        <w:rPr>
          <w:rFonts w:cs="Times New Roman"/>
          <w:b/>
          <w:bCs/>
          <w:sz w:val="28"/>
          <w:szCs w:val="28"/>
        </w:rPr>
      </w:pPr>
    </w:p>
    <w:p w14:paraId="42FEE9C1" w14:textId="77777777" w:rsidR="0074301D" w:rsidRDefault="0074301D" w:rsidP="0074301D">
      <w:pPr>
        <w:rPr>
          <w:rFonts w:cs="Times New Roman"/>
          <w:b/>
          <w:bCs/>
          <w:sz w:val="28"/>
          <w:szCs w:val="28"/>
        </w:rPr>
      </w:pPr>
    </w:p>
    <w:p w14:paraId="485A6C13" w14:textId="77777777" w:rsidR="0074301D" w:rsidRDefault="0074301D" w:rsidP="0074301D">
      <w:pPr>
        <w:rPr>
          <w:rFonts w:cs="Times New Roman"/>
          <w:b/>
          <w:bCs/>
          <w:sz w:val="28"/>
          <w:szCs w:val="28"/>
        </w:rPr>
      </w:pPr>
    </w:p>
    <w:p w14:paraId="4FF1025F" w14:textId="77777777" w:rsidR="0074301D" w:rsidRDefault="0074301D" w:rsidP="0074301D">
      <w:pPr>
        <w:rPr>
          <w:rFonts w:cs="Times New Roman"/>
          <w:b/>
          <w:bCs/>
          <w:sz w:val="28"/>
          <w:szCs w:val="28"/>
        </w:rPr>
      </w:pPr>
    </w:p>
    <w:p w14:paraId="6BF4DECF" w14:textId="77777777" w:rsidR="0074301D" w:rsidRDefault="0074301D" w:rsidP="0074301D">
      <w:pPr>
        <w:rPr>
          <w:rFonts w:cs="Times New Roman"/>
          <w:b/>
          <w:bCs/>
          <w:sz w:val="28"/>
          <w:szCs w:val="28"/>
        </w:rPr>
      </w:pPr>
    </w:p>
    <w:p w14:paraId="2C14A569" w14:textId="77777777" w:rsidR="0074301D" w:rsidRDefault="0074301D" w:rsidP="0074301D">
      <w:pPr>
        <w:rPr>
          <w:rFonts w:cs="Times New Roman"/>
          <w:b/>
          <w:bCs/>
          <w:sz w:val="28"/>
          <w:szCs w:val="28"/>
        </w:rPr>
      </w:pPr>
    </w:p>
    <w:p w14:paraId="2F1A6A83" w14:textId="77777777" w:rsidR="0074301D" w:rsidRDefault="0074301D" w:rsidP="0074301D">
      <w:pPr>
        <w:rPr>
          <w:rFonts w:cs="Times New Roman"/>
          <w:b/>
          <w:bCs/>
          <w:sz w:val="28"/>
          <w:szCs w:val="28"/>
        </w:rPr>
      </w:pPr>
    </w:p>
    <w:p w14:paraId="2374F45D" w14:textId="77777777" w:rsidR="0074301D" w:rsidRDefault="0074301D" w:rsidP="0074301D">
      <w:pPr>
        <w:rPr>
          <w:rFonts w:cs="Times New Roman"/>
          <w:b/>
          <w:bCs/>
          <w:sz w:val="28"/>
          <w:szCs w:val="28"/>
        </w:rPr>
      </w:pPr>
    </w:p>
    <w:p w14:paraId="58CF6648" w14:textId="77777777" w:rsidR="0074301D" w:rsidRDefault="0074301D" w:rsidP="0074301D">
      <w:pPr>
        <w:rPr>
          <w:rFonts w:cs="Times New Roman"/>
          <w:b/>
          <w:bCs/>
          <w:sz w:val="28"/>
          <w:szCs w:val="28"/>
        </w:rPr>
      </w:pPr>
    </w:p>
    <w:p w14:paraId="2793B179" w14:textId="77777777" w:rsidR="0074301D" w:rsidRDefault="0074301D" w:rsidP="0074301D">
      <w:pPr>
        <w:rPr>
          <w:rFonts w:cs="Times New Roman"/>
          <w:b/>
          <w:bCs/>
          <w:sz w:val="28"/>
          <w:szCs w:val="28"/>
        </w:rPr>
      </w:pPr>
    </w:p>
    <w:p w14:paraId="680C3636" w14:textId="77777777" w:rsidR="0074301D" w:rsidRPr="00AC2FE5" w:rsidRDefault="0074301D" w:rsidP="0074301D">
      <w:pPr>
        <w:rPr>
          <w:rFonts w:cs="Times New Roman"/>
          <w:sz w:val="22"/>
          <w:szCs w:val="22"/>
        </w:rPr>
      </w:pPr>
      <w:r w:rsidRPr="00AC2FE5">
        <w:rPr>
          <w:rFonts w:cs="Times New Roman"/>
          <w:sz w:val="22"/>
          <w:szCs w:val="22"/>
        </w:rPr>
        <w:t>Elite Financial Advisor</w:t>
      </w:r>
    </w:p>
    <w:p w14:paraId="3788ABDB" w14:textId="77777777" w:rsidR="0074301D" w:rsidRPr="00AC2FE5" w:rsidRDefault="0074301D" w:rsidP="0074301D">
      <w:pPr>
        <w:rPr>
          <w:rFonts w:cs="Times New Roman"/>
          <w:sz w:val="22"/>
          <w:szCs w:val="22"/>
        </w:rPr>
      </w:pPr>
    </w:p>
    <w:p w14:paraId="1135BC2A" w14:textId="77777777" w:rsidR="0074301D" w:rsidRPr="00AC2FE5" w:rsidRDefault="0074301D" w:rsidP="0074301D">
      <w:pPr>
        <w:rPr>
          <w:rFonts w:cs="Times New Roman"/>
          <w:sz w:val="22"/>
          <w:szCs w:val="22"/>
        </w:rPr>
      </w:pPr>
      <w:r w:rsidRPr="00AC2FE5">
        <w:rPr>
          <w:rFonts w:cs="Times New Roman"/>
          <w:sz w:val="22"/>
          <w:szCs w:val="22"/>
        </w:rPr>
        <w:t>Elite Financial Advisory Services</w:t>
      </w:r>
    </w:p>
    <w:p w14:paraId="5580554C" w14:textId="77777777" w:rsidR="0074301D" w:rsidRPr="00AC2FE5" w:rsidRDefault="0074301D" w:rsidP="0074301D">
      <w:pPr>
        <w:rPr>
          <w:rFonts w:cs="Times New Roman"/>
          <w:sz w:val="22"/>
          <w:szCs w:val="22"/>
        </w:rPr>
      </w:pPr>
      <w:r w:rsidRPr="00AC2FE5">
        <w:rPr>
          <w:rFonts w:cs="Times New Roman"/>
          <w:sz w:val="22"/>
          <w:szCs w:val="22"/>
        </w:rPr>
        <w:t>1234 Main Street</w:t>
      </w:r>
    </w:p>
    <w:p w14:paraId="37552DBC" w14:textId="77777777" w:rsidR="0074301D" w:rsidRPr="00AC2FE5" w:rsidRDefault="0074301D" w:rsidP="0074301D">
      <w:pPr>
        <w:rPr>
          <w:rFonts w:cs="Times New Roman"/>
          <w:sz w:val="22"/>
          <w:szCs w:val="22"/>
        </w:rPr>
      </w:pPr>
      <w:r w:rsidRPr="00AC2FE5">
        <w:rPr>
          <w:rFonts w:cs="Times New Roman"/>
          <w:sz w:val="22"/>
          <w:szCs w:val="22"/>
        </w:rPr>
        <w:t>Santa Monica, California</w:t>
      </w:r>
      <w:r w:rsidR="005A72F9">
        <w:rPr>
          <w:rFonts w:cs="Times New Roman"/>
          <w:sz w:val="22"/>
          <w:szCs w:val="22"/>
        </w:rPr>
        <w:t xml:space="preserve"> </w:t>
      </w:r>
      <w:r w:rsidRPr="00AC2FE5">
        <w:rPr>
          <w:rFonts w:cs="Times New Roman"/>
          <w:sz w:val="22"/>
          <w:szCs w:val="22"/>
        </w:rPr>
        <w:t>94000</w:t>
      </w:r>
    </w:p>
    <w:p w14:paraId="59C85911" w14:textId="77777777" w:rsidR="0074301D" w:rsidRPr="00AC2FE5" w:rsidRDefault="0074301D" w:rsidP="0074301D">
      <w:pPr>
        <w:rPr>
          <w:rFonts w:cs="Times New Roman"/>
          <w:sz w:val="22"/>
          <w:szCs w:val="22"/>
        </w:rPr>
        <w:sectPr w:rsidR="0074301D" w:rsidRPr="00AC2FE5" w:rsidSect="009172AD">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noEndnote/>
          <w:titlePg/>
        </w:sectPr>
      </w:pPr>
      <w:r w:rsidRPr="00AC2FE5">
        <w:rPr>
          <w:rFonts w:cs="Times New Roman"/>
          <w:sz w:val="22"/>
          <w:szCs w:val="22"/>
        </w:rPr>
        <w:t>(310) 555-5555</w:t>
      </w:r>
    </w:p>
    <w:p w14:paraId="760DBDDC" w14:textId="77777777" w:rsidR="009172AD" w:rsidRDefault="009172AD">
      <w:pPr>
        <w:rPr>
          <w:rFonts w:cs="Times New Roman"/>
          <w:b/>
          <w:bCs/>
          <w:sz w:val="28"/>
          <w:szCs w:val="28"/>
        </w:rPr>
      </w:pPr>
      <w:r w:rsidRPr="00AC2FE5">
        <w:rPr>
          <w:rFonts w:cs="Times New Roman"/>
          <w:b/>
          <w:bCs/>
          <w:sz w:val="28"/>
          <w:szCs w:val="28"/>
        </w:rPr>
        <w:lastRenderedPageBreak/>
        <w:t>Table of Contents</w:t>
      </w:r>
    </w:p>
    <w:p w14:paraId="08399537" w14:textId="77777777" w:rsidR="005D5FE8" w:rsidRPr="00AC2FE5" w:rsidRDefault="005D5FE8" w:rsidP="005D5FE8"/>
    <w:p w14:paraId="241E0EDD" w14:textId="77777777" w:rsidR="009172AD" w:rsidRPr="00AC2FE5" w:rsidRDefault="009172AD">
      <w:pPr>
        <w:pStyle w:val="TOC1"/>
        <w:tabs>
          <w:tab w:val="right" w:leader="dot" w:pos="8630"/>
        </w:tabs>
        <w:rPr>
          <w:rFonts w:cs="Times New Roman"/>
          <w:szCs w:val="20"/>
        </w:rPr>
      </w:pPr>
    </w:p>
    <w:p w14:paraId="302CEA62" w14:textId="77777777" w:rsidR="005D5FE8" w:rsidRPr="00F72A55" w:rsidRDefault="005D5FE8" w:rsidP="005D5FE8">
      <w:pPr>
        <w:pStyle w:val="TOC1"/>
        <w:tabs>
          <w:tab w:val="right" w:leader="dot" w:pos="8630"/>
        </w:tabs>
        <w:spacing w:line="360" w:lineRule="auto"/>
        <w:rPr>
          <w:rFonts w:ascii="Calibri" w:hAnsi="Calibri" w:cs="Times New Roman"/>
          <w:noProof/>
          <w:sz w:val="22"/>
          <w:szCs w:val="22"/>
        </w:rPr>
      </w:pPr>
      <w:r>
        <w:rPr>
          <w:rFonts w:cs="Times New Roman"/>
          <w:szCs w:val="20"/>
        </w:rPr>
        <w:fldChar w:fldCharType="begin"/>
      </w:r>
      <w:r>
        <w:rPr>
          <w:rFonts w:cs="Times New Roman"/>
          <w:szCs w:val="20"/>
        </w:rPr>
        <w:instrText xml:space="preserve"> TOC \o "1-2" \h \z \u </w:instrText>
      </w:r>
      <w:r>
        <w:rPr>
          <w:rFonts w:cs="Times New Roman"/>
          <w:szCs w:val="20"/>
        </w:rPr>
        <w:fldChar w:fldCharType="separate"/>
      </w:r>
      <w:hyperlink w:anchor="_Toc412470188" w:history="1">
        <w:r w:rsidRPr="003314FA">
          <w:rPr>
            <w:rStyle w:val="Hyperlink"/>
            <w:noProof/>
          </w:rPr>
          <w:t>Our Investing Approach</w:t>
        </w:r>
        <w:r>
          <w:rPr>
            <w:noProof/>
            <w:webHidden/>
          </w:rPr>
          <w:tab/>
        </w:r>
        <w:r>
          <w:rPr>
            <w:noProof/>
            <w:webHidden/>
          </w:rPr>
          <w:fldChar w:fldCharType="begin"/>
        </w:r>
        <w:r>
          <w:rPr>
            <w:noProof/>
            <w:webHidden/>
          </w:rPr>
          <w:instrText xml:space="preserve"> PAGEREF _Toc412470188 \h </w:instrText>
        </w:r>
        <w:r>
          <w:rPr>
            <w:noProof/>
            <w:webHidden/>
          </w:rPr>
        </w:r>
        <w:r>
          <w:rPr>
            <w:noProof/>
            <w:webHidden/>
          </w:rPr>
          <w:fldChar w:fldCharType="separate"/>
        </w:r>
        <w:r>
          <w:rPr>
            <w:noProof/>
            <w:webHidden/>
          </w:rPr>
          <w:t>2</w:t>
        </w:r>
        <w:r>
          <w:rPr>
            <w:noProof/>
            <w:webHidden/>
          </w:rPr>
          <w:fldChar w:fldCharType="end"/>
        </w:r>
      </w:hyperlink>
    </w:p>
    <w:p w14:paraId="462890FC"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89" w:history="1">
        <w:r w:rsidR="005D5FE8" w:rsidRPr="003314FA">
          <w:rPr>
            <w:rStyle w:val="Hyperlink"/>
            <w:noProof/>
          </w:rPr>
          <w:t>Step One: Assess Your Goals and Circumstances</w:t>
        </w:r>
        <w:r w:rsidR="005D5FE8">
          <w:rPr>
            <w:noProof/>
            <w:webHidden/>
          </w:rPr>
          <w:tab/>
        </w:r>
        <w:r w:rsidR="005D5FE8">
          <w:rPr>
            <w:noProof/>
            <w:webHidden/>
          </w:rPr>
          <w:fldChar w:fldCharType="begin"/>
        </w:r>
        <w:r w:rsidR="005D5FE8">
          <w:rPr>
            <w:noProof/>
            <w:webHidden/>
          </w:rPr>
          <w:instrText xml:space="preserve"> PAGEREF _Toc412470189 \h </w:instrText>
        </w:r>
        <w:r w:rsidR="005D5FE8">
          <w:rPr>
            <w:noProof/>
            <w:webHidden/>
          </w:rPr>
        </w:r>
        <w:r w:rsidR="005D5FE8">
          <w:rPr>
            <w:noProof/>
            <w:webHidden/>
          </w:rPr>
          <w:fldChar w:fldCharType="separate"/>
        </w:r>
        <w:r w:rsidR="005D5FE8">
          <w:rPr>
            <w:noProof/>
            <w:webHidden/>
          </w:rPr>
          <w:t>2</w:t>
        </w:r>
        <w:r w:rsidR="005D5FE8">
          <w:rPr>
            <w:noProof/>
            <w:webHidden/>
          </w:rPr>
          <w:fldChar w:fldCharType="end"/>
        </w:r>
      </w:hyperlink>
    </w:p>
    <w:p w14:paraId="1D4EF628"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0" w:history="1">
        <w:r w:rsidR="005D5FE8" w:rsidRPr="003314FA">
          <w:rPr>
            <w:rStyle w:val="Hyperlink"/>
            <w:noProof/>
          </w:rPr>
          <w:t>Step Two: Set Your Long-Term Investment Objectives</w:t>
        </w:r>
        <w:r w:rsidR="005D5FE8">
          <w:rPr>
            <w:noProof/>
            <w:webHidden/>
          </w:rPr>
          <w:tab/>
        </w:r>
        <w:r w:rsidR="005D5FE8">
          <w:rPr>
            <w:noProof/>
            <w:webHidden/>
          </w:rPr>
          <w:fldChar w:fldCharType="begin"/>
        </w:r>
        <w:r w:rsidR="005D5FE8">
          <w:rPr>
            <w:noProof/>
            <w:webHidden/>
          </w:rPr>
          <w:instrText xml:space="preserve"> PAGEREF _Toc412470190 \h </w:instrText>
        </w:r>
        <w:r w:rsidR="005D5FE8">
          <w:rPr>
            <w:noProof/>
            <w:webHidden/>
          </w:rPr>
        </w:r>
        <w:r w:rsidR="005D5FE8">
          <w:rPr>
            <w:noProof/>
            <w:webHidden/>
          </w:rPr>
          <w:fldChar w:fldCharType="separate"/>
        </w:r>
        <w:r w:rsidR="005D5FE8">
          <w:rPr>
            <w:noProof/>
            <w:webHidden/>
          </w:rPr>
          <w:t>2</w:t>
        </w:r>
        <w:r w:rsidR="005D5FE8">
          <w:rPr>
            <w:noProof/>
            <w:webHidden/>
          </w:rPr>
          <w:fldChar w:fldCharType="end"/>
        </w:r>
      </w:hyperlink>
    </w:p>
    <w:p w14:paraId="79461181"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1" w:history="1">
        <w:r w:rsidR="005D5FE8" w:rsidRPr="003314FA">
          <w:rPr>
            <w:rStyle w:val="Hyperlink"/>
            <w:noProof/>
          </w:rPr>
          <w:t>Step Three: Plan Your Asset Allocation</w:t>
        </w:r>
        <w:r w:rsidR="005D5FE8">
          <w:rPr>
            <w:noProof/>
            <w:webHidden/>
          </w:rPr>
          <w:tab/>
        </w:r>
        <w:r w:rsidR="005D5FE8">
          <w:rPr>
            <w:noProof/>
            <w:webHidden/>
          </w:rPr>
          <w:fldChar w:fldCharType="begin"/>
        </w:r>
        <w:r w:rsidR="005D5FE8">
          <w:rPr>
            <w:noProof/>
            <w:webHidden/>
          </w:rPr>
          <w:instrText xml:space="preserve"> PAGEREF _Toc412470191 \h </w:instrText>
        </w:r>
        <w:r w:rsidR="005D5FE8">
          <w:rPr>
            <w:noProof/>
            <w:webHidden/>
          </w:rPr>
        </w:r>
        <w:r w:rsidR="005D5FE8">
          <w:rPr>
            <w:noProof/>
            <w:webHidden/>
          </w:rPr>
          <w:fldChar w:fldCharType="separate"/>
        </w:r>
        <w:r w:rsidR="005D5FE8">
          <w:rPr>
            <w:noProof/>
            <w:webHidden/>
          </w:rPr>
          <w:t>6</w:t>
        </w:r>
        <w:r w:rsidR="005D5FE8">
          <w:rPr>
            <w:noProof/>
            <w:webHidden/>
          </w:rPr>
          <w:fldChar w:fldCharType="end"/>
        </w:r>
      </w:hyperlink>
    </w:p>
    <w:p w14:paraId="101A6BD1"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2" w:history="1">
        <w:r w:rsidR="005D5FE8" w:rsidRPr="003314FA">
          <w:rPr>
            <w:rStyle w:val="Hyperlink"/>
            <w:noProof/>
          </w:rPr>
          <w:t>Step Four: Select Your Investment Approach</w:t>
        </w:r>
        <w:r w:rsidR="005D5FE8">
          <w:rPr>
            <w:noProof/>
            <w:webHidden/>
          </w:rPr>
          <w:tab/>
        </w:r>
        <w:r w:rsidR="005D5FE8">
          <w:rPr>
            <w:noProof/>
            <w:webHidden/>
          </w:rPr>
          <w:fldChar w:fldCharType="begin"/>
        </w:r>
        <w:r w:rsidR="005D5FE8">
          <w:rPr>
            <w:noProof/>
            <w:webHidden/>
          </w:rPr>
          <w:instrText xml:space="preserve"> PAGEREF _Toc412470192 \h </w:instrText>
        </w:r>
        <w:r w:rsidR="005D5FE8">
          <w:rPr>
            <w:noProof/>
            <w:webHidden/>
          </w:rPr>
        </w:r>
        <w:r w:rsidR="005D5FE8">
          <w:rPr>
            <w:noProof/>
            <w:webHidden/>
          </w:rPr>
          <w:fldChar w:fldCharType="separate"/>
        </w:r>
        <w:r w:rsidR="005D5FE8">
          <w:rPr>
            <w:noProof/>
            <w:webHidden/>
          </w:rPr>
          <w:t>14</w:t>
        </w:r>
        <w:r w:rsidR="005D5FE8">
          <w:rPr>
            <w:noProof/>
            <w:webHidden/>
          </w:rPr>
          <w:fldChar w:fldCharType="end"/>
        </w:r>
      </w:hyperlink>
    </w:p>
    <w:p w14:paraId="60A6DE68"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3" w:history="1">
        <w:r w:rsidR="005D5FE8" w:rsidRPr="003314FA">
          <w:rPr>
            <w:rStyle w:val="Hyperlink"/>
            <w:noProof/>
          </w:rPr>
          <w:t>Step Five: Build Your Portfolio</w:t>
        </w:r>
        <w:r w:rsidR="005D5FE8">
          <w:rPr>
            <w:noProof/>
            <w:webHidden/>
          </w:rPr>
          <w:tab/>
        </w:r>
        <w:r w:rsidR="005D5FE8">
          <w:rPr>
            <w:noProof/>
            <w:webHidden/>
          </w:rPr>
          <w:fldChar w:fldCharType="begin"/>
        </w:r>
        <w:r w:rsidR="005D5FE8">
          <w:rPr>
            <w:noProof/>
            <w:webHidden/>
          </w:rPr>
          <w:instrText xml:space="preserve"> PAGEREF _Toc412470193 \h </w:instrText>
        </w:r>
        <w:r w:rsidR="005D5FE8">
          <w:rPr>
            <w:noProof/>
            <w:webHidden/>
          </w:rPr>
        </w:r>
        <w:r w:rsidR="005D5FE8">
          <w:rPr>
            <w:noProof/>
            <w:webHidden/>
          </w:rPr>
          <w:fldChar w:fldCharType="separate"/>
        </w:r>
        <w:r w:rsidR="005D5FE8">
          <w:rPr>
            <w:noProof/>
            <w:webHidden/>
          </w:rPr>
          <w:t>16</w:t>
        </w:r>
        <w:r w:rsidR="005D5FE8">
          <w:rPr>
            <w:noProof/>
            <w:webHidden/>
          </w:rPr>
          <w:fldChar w:fldCharType="end"/>
        </w:r>
      </w:hyperlink>
    </w:p>
    <w:p w14:paraId="7CAF1F6F" w14:textId="77777777" w:rsidR="005D5FE8" w:rsidRPr="00F72A55" w:rsidRDefault="00077EC5" w:rsidP="005D5FE8">
      <w:pPr>
        <w:pStyle w:val="TOC1"/>
        <w:tabs>
          <w:tab w:val="right" w:leader="dot" w:pos="8630"/>
        </w:tabs>
        <w:spacing w:line="360" w:lineRule="auto"/>
        <w:rPr>
          <w:rFonts w:ascii="Calibri" w:hAnsi="Calibri" w:cs="Times New Roman"/>
          <w:noProof/>
          <w:sz w:val="22"/>
          <w:szCs w:val="22"/>
        </w:rPr>
      </w:pPr>
      <w:hyperlink w:anchor="_Toc412470194" w:history="1">
        <w:r w:rsidR="005D5FE8" w:rsidRPr="003314FA">
          <w:rPr>
            <w:rStyle w:val="Hyperlink"/>
            <w:noProof/>
          </w:rPr>
          <w:t>Strategic Portfolio Management Process</w:t>
        </w:r>
        <w:r w:rsidR="005D5FE8">
          <w:rPr>
            <w:noProof/>
            <w:webHidden/>
          </w:rPr>
          <w:tab/>
        </w:r>
        <w:r w:rsidR="005D5FE8">
          <w:rPr>
            <w:noProof/>
            <w:webHidden/>
          </w:rPr>
          <w:fldChar w:fldCharType="begin"/>
        </w:r>
        <w:r w:rsidR="005D5FE8">
          <w:rPr>
            <w:noProof/>
            <w:webHidden/>
          </w:rPr>
          <w:instrText xml:space="preserve"> PAGEREF _Toc412470194 \h </w:instrText>
        </w:r>
        <w:r w:rsidR="005D5FE8">
          <w:rPr>
            <w:noProof/>
            <w:webHidden/>
          </w:rPr>
        </w:r>
        <w:r w:rsidR="005D5FE8">
          <w:rPr>
            <w:noProof/>
            <w:webHidden/>
          </w:rPr>
          <w:fldChar w:fldCharType="separate"/>
        </w:r>
        <w:r w:rsidR="005D5FE8">
          <w:rPr>
            <w:noProof/>
            <w:webHidden/>
          </w:rPr>
          <w:t>19</w:t>
        </w:r>
        <w:r w:rsidR="005D5FE8">
          <w:rPr>
            <w:noProof/>
            <w:webHidden/>
          </w:rPr>
          <w:fldChar w:fldCharType="end"/>
        </w:r>
      </w:hyperlink>
    </w:p>
    <w:p w14:paraId="6555D57D"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5" w:history="1">
        <w:r w:rsidR="005D5FE8" w:rsidRPr="003314FA">
          <w:rPr>
            <w:rStyle w:val="Hyperlink"/>
            <w:noProof/>
          </w:rPr>
          <w:t>Gap Analysis</w:t>
        </w:r>
        <w:r w:rsidR="005D5FE8">
          <w:rPr>
            <w:noProof/>
            <w:webHidden/>
          </w:rPr>
          <w:tab/>
        </w:r>
        <w:r w:rsidR="005D5FE8">
          <w:rPr>
            <w:noProof/>
            <w:webHidden/>
          </w:rPr>
          <w:fldChar w:fldCharType="begin"/>
        </w:r>
        <w:r w:rsidR="005D5FE8">
          <w:rPr>
            <w:noProof/>
            <w:webHidden/>
          </w:rPr>
          <w:instrText xml:space="preserve"> PAGEREF _Toc412470195 \h </w:instrText>
        </w:r>
        <w:r w:rsidR="005D5FE8">
          <w:rPr>
            <w:noProof/>
            <w:webHidden/>
          </w:rPr>
        </w:r>
        <w:r w:rsidR="005D5FE8">
          <w:rPr>
            <w:noProof/>
            <w:webHidden/>
          </w:rPr>
          <w:fldChar w:fldCharType="separate"/>
        </w:r>
        <w:r w:rsidR="005D5FE8">
          <w:rPr>
            <w:noProof/>
            <w:webHidden/>
          </w:rPr>
          <w:t>19</w:t>
        </w:r>
        <w:r w:rsidR="005D5FE8">
          <w:rPr>
            <w:noProof/>
            <w:webHidden/>
          </w:rPr>
          <w:fldChar w:fldCharType="end"/>
        </w:r>
      </w:hyperlink>
    </w:p>
    <w:p w14:paraId="28EC1978"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6" w:history="1">
        <w:r w:rsidR="005D5FE8" w:rsidRPr="003314FA">
          <w:rPr>
            <w:rStyle w:val="Hyperlink"/>
            <w:noProof/>
          </w:rPr>
          <w:t>Asset Allocation</w:t>
        </w:r>
        <w:r w:rsidR="005D5FE8">
          <w:rPr>
            <w:noProof/>
            <w:webHidden/>
          </w:rPr>
          <w:tab/>
        </w:r>
        <w:r w:rsidR="005D5FE8">
          <w:rPr>
            <w:noProof/>
            <w:webHidden/>
          </w:rPr>
          <w:fldChar w:fldCharType="begin"/>
        </w:r>
        <w:r w:rsidR="005D5FE8">
          <w:rPr>
            <w:noProof/>
            <w:webHidden/>
          </w:rPr>
          <w:instrText xml:space="preserve"> PAGEREF _Toc412470196 \h </w:instrText>
        </w:r>
        <w:r w:rsidR="005D5FE8">
          <w:rPr>
            <w:noProof/>
            <w:webHidden/>
          </w:rPr>
        </w:r>
        <w:r w:rsidR="005D5FE8">
          <w:rPr>
            <w:noProof/>
            <w:webHidden/>
          </w:rPr>
          <w:fldChar w:fldCharType="separate"/>
        </w:r>
        <w:r w:rsidR="005D5FE8">
          <w:rPr>
            <w:noProof/>
            <w:webHidden/>
          </w:rPr>
          <w:t>19</w:t>
        </w:r>
        <w:r w:rsidR="005D5FE8">
          <w:rPr>
            <w:noProof/>
            <w:webHidden/>
          </w:rPr>
          <w:fldChar w:fldCharType="end"/>
        </w:r>
      </w:hyperlink>
    </w:p>
    <w:p w14:paraId="0499CA25"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7" w:history="1">
        <w:r w:rsidR="005D5FE8" w:rsidRPr="003314FA">
          <w:rPr>
            <w:rStyle w:val="Hyperlink"/>
            <w:noProof/>
          </w:rPr>
          <w:t>Manager Selection</w:t>
        </w:r>
        <w:r w:rsidR="005D5FE8">
          <w:rPr>
            <w:noProof/>
            <w:webHidden/>
          </w:rPr>
          <w:tab/>
        </w:r>
        <w:r w:rsidR="005D5FE8">
          <w:rPr>
            <w:noProof/>
            <w:webHidden/>
          </w:rPr>
          <w:fldChar w:fldCharType="begin"/>
        </w:r>
        <w:r w:rsidR="005D5FE8">
          <w:rPr>
            <w:noProof/>
            <w:webHidden/>
          </w:rPr>
          <w:instrText xml:space="preserve"> PAGEREF _Toc412470197 \h </w:instrText>
        </w:r>
        <w:r w:rsidR="005D5FE8">
          <w:rPr>
            <w:noProof/>
            <w:webHidden/>
          </w:rPr>
        </w:r>
        <w:r w:rsidR="005D5FE8">
          <w:rPr>
            <w:noProof/>
            <w:webHidden/>
          </w:rPr>
          <w:fldChar w:fldCharType="separate"/>
        </w:r>
        <w:r w:rsidR="005D5FE8">
          <w:rPr>
            <w:noProof/>
            <w:webHidden/>
          </w:rPr>
          <w:t>19</w:t>
        </w:r>
        <w:r w:rsidR="005D5FE8">
          <w:rPr>
            <w:noProof/>
            <w:webHidden/>
          </w:rPr>
          <w:fldChar w:fldCharType="end"/>
        </w:r>
      </w:hyperlink>
    </w:p>
    <w:p w14:paraId="1AEC8DBD" w14:textId="77777777" w:rsidR="005D5FE8" w:rsidRPr="00F72A55" w:rsidRDefault="00077EC5" w:rsidP="005D5FE8">
      <w:pPr>
        <w:pStyle w:val="TOC2"/>
        <w:tabs>
          <w:tab w:val="right" w:leader="dot" w:pos="8630"/>
        </w:tabs>
        <w:spacing w:line="360" w:lineRule="auto"/>
        <w:rPr>
          <w:rFonts w:ascii="Calibri" w:hAnsi="Calibri" w:cs="Times New Roman"/>
          <w:noProof/>
          <w:sz w:val="22"/>
          <w:szCs w:val="22"/>
        </w:rPr>
      </w:pPr>
      <w:hyperlink w:anchor="_Toc412470198" w:history="1">
        <w:r w:rsidR="005D5FE8" w:rsidRPr="003314FA">
          <w:rPr>
            <w:rStyle w:val="Hyperlink"/>
            <w:noProof/>
          </w:rPr>
          <w:t>Rebalancing and Reporting Progress</w:t>
        </w:r>
        <w:r w:rsidR="005D5FE8">
          <w:rPr>
            <w:noProof/>
            <w:webHidden/>
          </w:rPr>
          <w:tab/>
        </w:r>
        <w:r w:rsidR="005D5FE8">
          <w:rPr>
            <w:noProof/>
            <w:webHidden/>
          </w:rPr>
          <w:fldChar w:fldCharType="begin"/>
        </w:r>
        <w:r w:rsidR="005D5FE8">
          <w:rPr>
            <w:noProof/>
            <w:webHidden/>
          </w:rPr>
          <w:instrText xml:space="preserve"> PAGEREF _Toc412470198 \h </w:instrText>
        </w:r>
        <w:r w:rsidR="005D5FE8">
          <w:rPr>
            <w:noProof/>
            <w:webHidden/>
          </w:rPr>
        </w:r>
        <w:r w:rsidR="005D5FE8">
          <w:rPr>
            <w:noProof/>
            <w:webHidden/>
          </w:rPr>
          <w:fldChar w:fldCharType="separate"/>
        </w:r>
        <w:r w:rsidR="005D5FE8">
          <w:rPr>
            <w:noProof/>
            <w:webHidden/>
          </w:rPr>
          <w:t>20</w:t>
        </w:r>
        <w:r w:rsidR="005D5FE8">
          <w:rPr>
            <w:noProof/>
            <w:webHidden/>
          </w:rPr>
          <w:fldChar w:fldCharType="end"/>
        </w:r>
      </w:hyperlink>
    </w:p>
    <w:p w14:paraId="00064A28" w14:textId="7021C797" w:rsidR="009172AD" w:rsidRPr="00AC2FE5" w:rsidRDefault="005D5FE8" w:rsidP="006A3690">
      <w:pPr>
        <w:tabs>
          <w:tab w:val="left" w:pos="5868"/>
        </w:tabs>
        <w:spacing w:line="360" w:lineRule="auto"/>
        <w:rPr>
          <w:rFonts w:cs="Times New Roman"/>
          <w:szCs w:val="20"/>
        </w:rPr>
      </w:pPr>
      <w:r>
        <w:rPr>
          <w:rFonts w:cs="Times New Roman"/>
          <w:szCs w:val="20"/>
        </w:rPr>
        <w:fldChar w:fldCharType="end"/>
      </w:r>
      <w:r w:rsidR="006A3690">
        <w:rPr>
          <w:rFonts w:cs="Times New Roman"/>
          <w:szCs w:val="20"/>
        </w:rPr>
        <w:tab/>
      </w:r>
    </w:p>
    <w:p w14:paraId="0C578061" w14:textId="77777777" w:rsidR="009172AD" w:rsidRPr="00AC2FE5" w:rsidRDefault="009172AD">
      <w:pPr>
        <w:rPr>
          <w:rFonts w:cs="Times New Roman"/>
          <w:szCs w:val="20"/>
        </w:rPr>
      </w:pPr>
    </w:p>
    <w:p w14:paraId="13E4C449" w14:textId="77777777" w:rsidR="009172AD" w:rsidRPr="00AC2FE5" w:rsidRDefault="009172AD" w:rsidP="009172AD">
      <w:pPr>
        <w:pStyle w:val="Heading1"/>
        <w:rPr>
          <w:szCs w:val="20"/>
        </w:rPr>
      </w:pPr>
      <w:r w:rsidRPr="00AC2FE5">
        <w:br w:type="page"/>
      </w:r>
      <w:bookmarkStart w:id="0" w:name="_Toc412470188"/>
      <w:r w:rsidRPr="00AC2FE5">
        <w:rPr>
          <w:szCs w:val="32"/>
        </w:rPr>
        <w:lastRenderedPageBreak/>
        <w:t>Our Investing Approach</w:t>
      </w:r>
      <w:bookmarkEnd w:id="0"/>
      <w:r w:rsidRPr="00AC2FE5">
        <w:rPr>
          <w:szCs w:val="20"/>
        </w:rPr>
        <w:t xml:space="preserve"> </w:t>
      </w:r>
    </w:p>
    <w:p w14:paraId="4A4AEABF" w14:textId="77777777" w:rsidR="009172AD" w:rsidRPr="00AC2FE5" w:rsidRDefault="009172AD">
      <w:pPr>
        <w:rPr>
          <w:rFonts w:cs="Times New Roman"/>
          <w:szCs w:val="20"/>
        </w:rPr>
      </w:pPr>
    </w:p>
    <w:p w14:paraId="371C7AF2" w14:textId="77777777" w:rsidR="009172AD" w:rsidRPr="00AC2FE5" w:rsidRDefault="009172AD">
      <w:pPr>
        <w:rPr>
          <w:rFonts w:cs="Times New Roman"/>
          <w:szCs w:val="20"/>
        </w:rPr>
      </w:pPr>
      <w:r w:rsidRPr="00AC2FE5">
        <w:rPr>
          <w:rFonts w:cs="Times New Roman"/>
          <w:szCs w:val="20"/>
        </w:rPr>
        <w:t>Our investing process centers around five steps:</w:t>
      </w:r>
    </w:p>
    <w:p w14:paraId="5AA56A35" w14:textId="77777777" w:rsidR="009172AD" w:rsidRPr="00AC2FE5" w:rsidRDefault="009172AD">
      <w:pPr>
        <w:rPr>
          <w:rFonts w:cs="Times New Roman"/>
          <w:szCs w:val="20"/>
        </w:rPr>
      </w:pPr>
    </w:p>
    <w:p w14:paraId="16E85A5C" w14:textId="77777777" w:rsidR="009172AD" w:rsidRPr="00AC2FE5" w:rsidRDefault="009172AD">
      <w:pPr>
        <w:rPr>
          <w:rFonts w:cs="Times New Roman"/>
          <w:szCs w:val="20"/>
        </w:rPr>
      </w:pPr>
      <w:r w:rsidRPr="00AC2FE5">
        <w:rPr>
          <w:rFonts w:cs="Times New Roman"/>
          <w:b/>
          <w:bCs/>
          <w:szCs w:val="20"/>
        </w:rPr>
        <w:t>1. Assess your goals and circumstances.</w:t>
      </w:r>
      <w:r w:rsidRPr="00AC2FE5">
        <w:rPr>
          <w:rFonts w:cs="Times New Roman"/>
          <w:szCs w:val="20"/>
        </w:rPr>
        <w:t xml:space="preserve"> The investment plan process begins during the Discovery Meeting with a discussion of your financial values and goals, as well as your key relationships, existing assets, other professional advisors, preferred process</w:t>
      </w:r>
      <w:r w:rsidR="00E33209">
        <w:rPr>
          <w:rFonts w:cs="Times New Roman"/>
          <w:szCs w:val="20"/>
        </w:rPr>
        <w:t>,</w:t>
      </w:r>
      <w:r w:rsidRPr="00AC2FE5">
        <w:rPr>
          <w:rFonts w:cs="Times New Roman"/>
          <w:szCs w:val="20"/>
        </w:rPr>
        <w:t xml:space="preserve"> and important interests.</w:t>
      </w:r>
    </w:p>
    <w:p w14:paraId="6ADF2C7F" w14:textId="77777777" w:rsidR="009172AD" w:rsidRPr="00AC2FE5" w:rsidRDefault="009172AD">
      <w:pPr>
        <w:rPr>
          <w:rFonts w:cs="Times New Roman"/>
          <w:szCs w:val="20"/>
        </w:rPr>
      </w:pPr>
    </w:p>
    <w:p w14:paraId="0EBB035E" w14:textId="77777777" w:rsidR="009172AD" w:rsidRPr="00AC2FE5" w:rsidRDefault="009172AD">
      <w:pPr>
        <w:rPr>
          <w:rFonts w:cs="Times New Roman"/>
          <w:szCs w:val="20"/>
        </w:rPr>
      </w:pPr>
      <w:r w:rsidRPr="00AC2FE5">
        <w:rPr>
          <w:rFonts w:cs="Times New Roman"/>
          <w:b/>
          <w:bCs/>
          <w:szCs w:val="20"/>
        </w:rPr>
        <w:t>2. Set long-term investment objectives.</w:t>
      </w:r>
      <w:r w:rsidRPr="00AC2FE5">
        <w:rPr>
          <w:rFonts w:cs="Times New Roman"/>
          <w:szCs w:val="20"/>
        </w:rPr>
        <w:t xml:space="preserve"> Taking into account the long-term nature of successful investing, we set objectives for your portfolio that are appropriate for your willingness, ability and need to take risk, and the investment horizon(s) you identify. </w:t>
      </w:r>
    </w:p>
    <w:p w14:paraId="377CF11C" w14:textId="77777777" w:rsidR="009172AD" w:rsidRPr="00AC2FE5" w:rsidRDefault="009172AD">
      <w:pPr>
        <w:rPr>
          <w:rFonts w:cs="Times New Roman"/>
          <w:szCs w:val="20"/>
        </w:rPr>
      </w:pPr>
    </w:p>
    <w:p w14:paraId="4F3A8F58" w14:textId="77777777" w:rsidR="009172AD" w:rsidRPr="00AC2FE5" w:rsidRDefault="009172AD">
      <w:pPr>
        <w:rPr>
          <w:rFonts w:cs="Times New Roman"/>
          <w:szCs w:val="20"/>
        </w:rPr>
      </w:pPr>
      <w:r w:rsidRPr="00AC2FE5">
        <w:rPr>
          <w:rFonts w:cs="Times New Roman"/>
          <w:b/>
          <w:bCs/>
          <w:szCs w:val="20"/>
        </w:rPr>
        <w:t>3. Plan your asset allocation</w:t>
      </w:r>
      <w:r w:rsidRPr="00AC2FE5">
        <w:rPr>
          <w:rFonts w:cs="Times New Roman"/>
          <w:b/>
          <w:szCs w:val="20"/>
        </w:rPr>
        <w:t>.</w:t>
      </w:r>
      <w:r w:rsidRPr="00AC2FE5">
        <w:rPr>
          <w:rFonts w:cs="Times New Roman"/>
          <w:szCs w:val="20"/>
        </w:rPr>
        <w:t xml:space="preserve"> Because it is so important, asset allocation is the first investment decision. During this process, we decide how much of your portfolio to invest in each of the different investment types, or asset classes, including stocks, bonds and short-term investments, both domestic and foreign. </w:t>
      </w:r>
    </w:p>
    <w:p w14:paraId="149A0A73" w14:textId="77777777" w:rsidR="009172AD" w:rsidRPr="00AC2FE5" w:rsidRDefault="009172AD">
      <w:pPr>
        <w:rPr>
          <w:rFonts w:cs="Times New Roman"/>
          <w:szCs w:val="20"/>
        </w:rPr>
      </w:pPr>
    </w:p>
    <w:p w14:paraId="748F8B55" w14:textId="77777777" w:rsidR="009172AD" w:rsidRPr="00AC2FE5" w:rsidRDefault="009172AD">
      <w:pPr>
        <w:rPr>
          <w:rFonts w:cs="Times New Roman"/>
          <w:szCs w:val="20"/>
        </w:rPr>
      </w:pPr>
      <w:r w:rsidRPr="00AC2FE5">
        <w:rPr>
          <w:rFonts w:cs="Times New Roman"/>
          <w:b/>
          <w:bCs/>
          <w:szCs w:val="20"/>
        </w:rPr>
        <w:t>4. Select your investment approach.</w:t>
      </w:r>
      <w:r w:rsidRPr="00AC2FE5">
        <w:rPr>
          <w:rFonts w:cs="Times New Roman"/>
          <w:szCs w:val="20"/>
        </w:rPr>
        <w:t xml:space="preserve"> With an asset allocation in place, we now select the investment vehicles that you will use to implement your portfolio strategy. Two key investing principles guide these decisions: the importance of diversification and the value of remaining invested. </w:t>
      </w:r>
    </w:p>
    <w:p w14:paraId="41E12681" w14:textId="77777777" w:rsidR="009172AD" w:rsidRPr="00AC2FE5" w:rsidRDefault="009172AD">
      <w:pPr>
        <w:rPr>
          <w:rFonts w:cs="Times New Roman"/>
          <w:szCs w:val="20"/>
        </w:rPr>
      </w:pPr>
    </w:p>
    <w:p w14:paraId="758EE89E" w14:textId="77777777" w:rsidR="009172AD" w:rsidRPr="00AC2FE5" w:rsidRDefault="009172AD">
      <w:pPr>
        <w:rPr>
          <w:rFonts w:cs="Times New Roman"/>
          <w:szCs w:val="20"/>
        </w:rPr>
      </w:pPr>
      <w:r w:rsidRPr="00AC2FE5">
        <w:rPr>
          <w:rFonts w:cs="Times New Roman"/>
          <w:b/>
          <w:bCs/>
          <w:szCs w:val="20"/>
        </w:rPr>
        <w:t>5. Build your portfolio.</w:t>
      </w:r>
      <w:r w:rsidRPr="00AC2FE5">
        <w:rPr>
          <w:rFonts w:cs="Times New Roman"/>
          <w:szCs w:val="20"/>
        </w:rPr>
        <w:t xml:space="preserve"> Building on the first four steps, we construct a portfolio suited to your needs, goals, investment horizon and risk attitude.</w:t>
      </w:r>
      <w:r w:rsidR="005A72F9">
        <w:rPr>
          <w:rFonts w:cs="Times New Roman"/>
          <w:szCs w:val="20"/>
        </w:rPr>
        <w:t xml:space="preserve"> </w:t>
      </w:r>
      <w:r w:rsidRPr="00AC2FE5">
        <w:rPr>
          <w:rFonts w:cs="Times New Roman"/>
          <w:szCs w:val="20"/>
        </w:rPr>
        <w:t xml:space="preserve">The building blocks for the portfolio </w:t>
      </w:r>
      <w:r w:rsidR="00E33209">
        <w:rPr>
          <w:rFonts w:cs="Times New Roman"/>
          <w:szCs w:val="20"/>
        </w:rPr>
        <w:t xml:space="preserve">typically </w:t>
      </w:r>
      <w:r w:rsidRPr="00AC2FE5">
        <w:rPr>
          <w:rFonts w:cs="Times New Roman"/>
          <w:szCs w:val="20"/>
        </w:rPr>
        <w:t>are institutional asset class funds</w:t>
      </w:r>
      <w:r w:rsidR="00E33209">
        <w:rPr>
          <w:rFonts w:cs="Times New Roman"/>
          <w:szCs w:val="20"/>
        </w:rPr>
        <w:t xml:space="preserve"> or </w:t>
      </w:r>
      <w:r w:rsidR="007E7962">
        <w:rPr>
          <w:rFonts w:cs="Times New Roman"/>
          <w:szCs w:val="20"/>
        </w:rPr>
        <w:t>e</w:t>
      </w:r>
      <w:r w:rsidR="00E33209">
        <w:rPr>
          <w:rFonts w:cs="Times New Roman"/>
          <w:szCs w:val="20"/>
        </w:rPr>
        <w:t>xchange</w:t>
      </w:r>
      <w:r w:rsidR="007E7962">
        <w:rPr>
          <w:rFonts w:cs="Times New Roman"/>
          <w:szCs w:val="20"/>
        </w:rPr>
        <w:t>-t</w:t>
      </w:r>
      <w:r w:rsidR="00E33209">
        <w:rPr>
          <w:rFonts w:cs="Times New Roman"/>
          <w:szCs w:val="20"/>
        </w:rPr>
        <w:t xml:space="preserve">raded </w:t>
      </w:r>
      <w:r w:rsidR="007E7962">
        <w:rPr>
          <w:rFonts w:cs="Times New Roman"/>
          <w:szCs w:val="20"/>
        </w:rPr>
        <w:t>f</w:t>
      </w:r>
      <w:r w:rsidR="00E33209">
        <w:rPr>
          <w:rFonts w:cs="Times New Roman"/>
          <w:szCs w:val="20"/>
        </w:rPr>
        <w:t>unds (ETFs)</w:t>
      </w:r>
      <w:r w:rsidRPr="00AC2FE5">
        <w:rPr>
          <w:rFonts w:cs="Times New Roman"/>
          <w:szCs w:val="20"/>
        </w:rPr>
        <w:t>, an excellent way to implement a diversified portfolio investment so as to maximize the probability of achieving your goals.</w:t>
      </w:r>
      <w:r w:rsidR="005A72F9">
        <w:rPr>
          <w:rFonts w:cs="Times New Roman"/>
          <w:szCs w:val="20"/>
        </w:rPr>
        <w:t xml:space="preserve"> </w:t>
      </w:r>
      <w:r w:rsidR="00E33209">
        <w:rPr>
          <w:rFonts w:cs="Times New Roman"/>
          <w:szCs w:val="20"/>
        </w:rPr>
        <w:t>In the event that an institutional asset class fund or an ETF is not appropriate, retail no-load funds or individual securities may be used.</w:t>
      </w:r>
    </w:p>
    <w:p w14:paraId="067EF9BA" w14:textId="77777777" w:rsidR="009172AD" w:rsidRPr="00AC2FE5" w:rsidRDefault="009172AD">
      <w:pPr>
        <w:rPr>
          <w:rFonts w:cs="Times New Roman"/>
          <w:szCs w:val="20"/>
        </w:rPr>
      </w:pPr>
    </w:p>
    <w:p w14:paraId="503EFFA7" w14:textId="77777777" w:rsidR="009172AD" w:rsidRPr="00AC2FE5" w:rsidRDefault="009172AD">
      <w:pPr>
        <w:rPr>
          <w:rFonts w:cs="Times New Roman"/>
          <w:szCs w:val="20"/>
        </w:rPr>
      </w:pPr>
      <w:r w:rsidRPr="00AC2FE5">
        <w:rPr>
          <w:rFonts w:cs="Times New Roman"/>
          <w:szCs w:val="20"/>
        </w:rPr>
        <w:t>The result of this process is a diagnostic report of your current situation with our recommendations for repositioning your portfolio to maximize your probability for success.</w:t>
      </w:r>
      <w:r w:rsidR="005A72F9">
        <w:rPr>
          <w:rFonts w:cs="Times New Roman"/>
          <w:szCs w:val="20"/>
        </w:rPr>
        <w:t xml:space="preserve"> </w:t>
      </w:r>
      <w:r w:rsidRPr="00AC2FE5">
        <w:rPr>
          <w:rFonts w:cs="Times New Roman"/>
          <w:szCs w:val="20"/>
        </w:rPr>
        <w:t xml:space="preserve">In addition to the above considerations, these recommendations take into account portfolio costs as well as the potential tax impact of the restructuring. </w:t>
      </w:r>
    </w:p>
    <w:p w14:paraId="1BE29485" w14:textId="77777777" w:rsidR="009172AD" w:rsidRPr="00AC2FE5" w:rsidRDefault="009172AD">
      <w:pPr>
        <w:rPr>
          <w:rFonts w:cs="Times New Roman"/>
          <w:szCs w:val="20"/>
        </w:rPr>
      </w:pPr>
    </w:p>
    <w:p w14:paraId="5E68668A" w14:textId="77777777" w:rsidR="009172AD" w:rsidRPr="00AC2FE5" w:rsidRDefault="009172AD" w:rsidP="009172AD">
      <w:pPr>
        <w:pStyle w:val="Heading2"/>
      </w:pPr>
      <w:bookmarkStart w:id="1" w:name="_Toc412470189"/>
      <w:r w:rsidRPr="00AC2FE5">
        <w:t>Step One: Assess Your Goals and Circumstances</w:t>
      </w:r>
      <w:bookmarkEnd w:id="1"/>
    </w:p>
    <w:p w14:paraId="6632AD1F" w14:textId="77777777" w:rsidR="009172AD" w:rsidRPr="00AC2FE5" w:rsidRDefault="009172AD">
      <w:pPr>
        <w:rPr>
          <w:rFonts w:cs="Times New Roman"/>
          <w:szCs w:val="20"/>
        </w:rPr>
      </w:pPr>
    </w:p>
    <w:p w14:paraId="41287B2B" w14:textId="77777777" w:rsidR="009172AD" w:rsidRPr="00AC2FE5" w:rsidRDefault="009172AD">
      <w:pPr>
        <w:rPr>
          <w:rFonts w:cs="Times New Roman"/>
          <w:szCs w:val="20"/>
        </w:rPr>
      </w:pPr>
      <w:r w:rsidRPr="00AC2FE5">
        <w:rPr>
          <w:rFonts w:cs="Times New Roman"/>
          <w:szCs w:val="20"/>
        </w:rPr>
        <w:t>Long-term investment success means different things to different people. The best investment plan for you depends on your specific circumstances and objectives.</w:t>
      </w:r>
      <w:r w:rsidR="005A72F9">
        <w:rPr>
          <w:rFonts w:cs="Times New Roman"/>
          <w:szCs w:val="20"/>
        </w:rPr>
        <w:t xml:space="preserve"> </w:t>
      </w:r>
      <w:r w:rsidRPr="00AC2FE5">
        <w:rPr>
          <w:rFonts w:cs="Times New Roman"/>
          <w:szCs w:val="20"/>
        </w:rPr>
        <w:t xml:space="preserve">That is why we began the investment planning process with a discussion during our Discovery Meeting of your values, goals, relationships, assets, advisors, preferred process and interests. </w:t>
      </w:r>
    </w:p>
    <w:p w14:paraId="4909F298" w14:textId="77777777" w:rsidR="009172AD" w:rsidRPr="00AC2FE5" w:rsidRDefault="009172AD">
      <w:pPr>
        <w:rPr>
          <w:rFonts w:cs="Times New Roman"/>
          <w:szCs w:val="20"/>
        </w:rPr>
      </w:pPr>
    </w:p>
    <w:p w14:paraId="1DAC801F" w14:textId="77777777" w:rsidR="009172AD" w:rsidRPr="00AC2FE5" w:rsidRDefault="009172AD">
      <w:pPr>
        <w:rPr>
          <w:rFonts w:cs="Times New Roman"/>
          <w:szCs w:val="20"/>
        </w:rPr>
      </w:pPr>
      <w:r w:rsidRPr="00AC2FE5">
        <w:rPr>
          <w:rFonts w:cs="Times New Roman"/>
          <w:szCs w:val="20"/>
        </w:rPr>
        <w:t>While everyone</w:t>
      </w:r>
      <w:r w:rsidR="00232C8D">
        <w:rPr>
          <w:rFonts w:cs="Times New Roman"/>
          <w:szCs w:val="20"/>
        </w:rPr>
        <w:t>’</w:t>
      </w:r>
      <w:r w:rsidRPr="00AC2FE5">
        <w:rPr>
          <w:rFonts w:cs="Times New Roman"/>
          <w:szCs w:val="20"/>
        </w:rPr>
        <w:t>s situation is unique, certain factors matter in creating any investment plan.</w:t>
      </w:r>
      <w:r w:rsidR="005A72F9">
        <w:rPr>
          <w:rFonts w:cs="Times New Roman"/>
          <w:szCs w:val="20"/>
        </w:rPr>
        <w:t xml:space="preserve"> </w:t>
      </w:r>
      <w:r w:rsidRPr="00AC2FE5">
        <w:rPr>
          <w:rFonts w:cs="Times New Roman"/>
          <w:szCs w:val="20"/>
        </w:rPr>
        <w:t xml:space="preserve">These factors include the purpose </w:t>
      </w:r>
      <w:r w:rsidR="00851791">
        <w:rPr>
          <w:rFonts w:cs="Times New Roman"/>
          <w:szCs w:val="20"/>
        </w:rPr>
        <w:t xml:space="preserve">of the investment, its size, </w:t>
      </w:r>
      <w:r w:rsidRPr="00AC2FE5">
        <w:rPr>
          <w:rFonts w:cs="Times New Roman"/>
          <w:szCs w:val="20"/>
        </w:rPr>
        <w:t xml:space="preserve">sources and planned uses of the funds, and the amount of uncertainty you are comfortable having. By thinking clearly about your goals and circumstances, you build the foundation of an investment plan that best matches your needs and the realities of the financial markets. </w:t>
      </w:r>
    </w:p>
    <w:p w14:paraId="7DBBE300" w14:textId="77777777" w:rsidR="009172AD" w:rsidRPr="00AC2FE5" w:rsidRDefault="009172AD">
      <w:pPr>
        <w:rPr>
          <w:rFonts w:cs="Times New Roman"/>
          <w:szCs w:val="20"/>
        </w:rPr>
      </w:pPr>
    </w:p>
    <w:p w14:paraId="2C006A9E" w14:textId="77777777" w:rsidR="009172AD" w:rsidRPr="00AC2FE5" w:rsidRDefault="009172AD" w:rsidP="009172AD">
      <w:pPr>
        <w:pStyle w:val="Heading2"/>
      </w:pPr>
      <w:bookmarkStart w:id="2" w:name="_Toc412470190"/>
      <w:r w:rsidRPr="00AC2FE5">
        <w:t>Step Two: Set Your Long-Term Investment Objectives</w:t>
      </w:r>
      <w:bookmarkEnd w:id="2"/>
      <w:r w:rsidRPr="00AC2FE5">
        <w:t xml:space="preserve"> </w:t>
      </w:r>
    </w:p>
    <w:p w14:paraId="2706ED5E" w14:textId="77777777" w:rsidR="009172AD" w:rsidRPr="00AC2FE5" w:rsidRDefault="009172AD">
      <w:pPr>
        <w:rPr>
          <w:rFonts w:cs="Times New Roman"/>
          <w:szCs w:val="20"/>
        </w:rPr>
      </w:pPr>
    </w:p>
    <w:p w14:paraId="4FCCEAF1" w14:textId="77777777" w:rsidR="009172AD" w:rsidRPr="00AC2FE5" w:rsidRDefault="009172AD">
      <w:pPr>
        <w:rPr>
          <w:rFonts w:cs="Times New Roman"/>
          <w:szCs w:val="20"/>
        </w:rPr>
      </w:pPr>
      <w:r w:rsidRPr="00AC2FE5">
        <w:rPr>
          <w:rFonts w:cs="Times New Roman"/>
          <w:szCs w:val="20"/>
        </w:rPr>
        <w:t xml:space="preserve">Investors know they should be long-term investors. This often gives rise to the question </w:t>
      </w:r>
      <w:r w:rsidR="00232C8D">
        <w:rPr>
          <w:rFonts w:cs="Times New Roman"/>
          <w:szCs w:val="20"/>
        </w:rPr>
        <w:t>“</w:t>
      </w:r>
      <w:r w:rsidRPr="00AC2FE5">
        <w:rPr>
          <w:rFonts w:cs="Times New Roman"/>
          <w:szCs w:val="20"/>
        </w:rPr>
        <w:t>How long is long term?</w:t>
      </w:r>
      <w:r w:rsidR="00232C8D">
        <w:rPr>
          <w:rFonts w:cs="Times New Roman"/>
          <w:szCs w:val="20"/>
        </w:rPr>
        <w:t>”</w:t>
      </w:r>
      <w:r w:rsidRPr="00AC2FE5">
        <w:rPr>
          <w:rFonts w:cs="Times New Roman"/>
          <w:szCs w:val="20"/>
        </w:rPr>
        <w:t xml:space="preserve"> The answer for many investors is surprising—your long-term horizon should be as f</w:t>
      </w:r>
      <w:r w:rsidR="00C87759">
        <w:rPr>
          <w:rFonts w:cs="Times New Roman"/>
          <w:szCs w:val="20"/>
        </w:rPr>
        <w:t xml:space="preserve">ar into the future as possible. </w:t>
      </w:r>
      <w:r w:rsidRPr="00AC2FE5">
        <w:rPr>
          <w:rFonts w:cs="Times New Roman"/>
          <w:szCs w:val="20"/>
        </w:rPr>
        <w:t xml:space="preserve">One of the many surprising facts about investing is that having a long horizon is a powerful advantage. You want your horizon to be as long as possible, because as an investor, time is your best friend. </w:t>
      </w:r>
    </w:p>
    <w:p w14:paraId="46EA865D" w14:textId="77777777" w:rsidR="009172AD" w:rsidRPr="00AC2FE5" w:rsidRDefault="009172AD">
      <w:pPr>
        <w:rPr>
          <w:rFonts w:cs="Times New Roman"/>
          <w:szCs w:val="20"/>
        </w:rPr>
      </w:pPr>
    </w:p>
    <w:p w14:paraId="2E316F3C" w14:textId="77777777" w:rsidR="009172AD" w:rsidRPr="00AC2FE5" w:rsidRDefault="009172AD">
      <w:pPr>
        <w:rPr>
          <w:rFonts w:cs="Times New Roman"/>
          <w:szCs w:val="20"/>
        </w:rPr>
      </w:pPr>
      <w:r w:rsidRPr="00AC2FE5">
        <w:rPr>
          <w:rFonts w:cs="Times New Roman"/>
          <w:szCs w:val="20"/>
        </w:rPr>
        <w:t>For many investors, the most important long-term goal is to achieve financial freedom in order to be able to do what they want.</w:t>
      </w:r>
      <w:r w:rsidR="005A72F9">
        <w:rPr>
          <w:rFonts w:cs="Times New Roman"/>
          <w:szCs w:val="20"/>
        </w:rPr>
        <w:t xml:space="preserve"> </w:t>
      </w:r>
      <w:r w:rsidRPr="00AC2FE5">
        <w:rPr>
          <w:rFonts w:cs="Times New Roman"/>
          <w:szCs w:val="20"/>
        </w:rPr>
        <w:t xml:space="preserve">But many investors also have intermediate-term goals—funding college educations for their children, </w:t>
      </w:r>
      <w:r w:rsidRPr="00AC2FE5">
        <w:rPr>
          <w:rFonts w:cs="Times New Roman"/>
          <w:szCs w:val="20"/>
        </w:rPr>
        <w:lastRenderedPageBreak/>
        <w:t xml:space="preserve">buying vacation homes and founding charitable foundations are but three examples. Investors may also have goals that reach far into the future—for example, they may wish to leave legacies to their children, grandchildren and even great-grandchildren. </w:t>
      </w:r>
    </w:p>
    <w:p w14:paraId="39851548" w14:textId="77777777" w:rsidR="009172AD" w:rsidRPr="00AC2FE5" w:rsidRDefault="009172AD">
      <w:pPr>
        <w:rPr>
          <w:rFonts w:cs="Times New Roman"/>
          <w:szCs w:val="20"/>
        </w:rPr>
      </w:pPr>
    </w:p>
    <w:p w14:paraId="418E45BF" w14:textId="77777777" w:rsidR="009172AD" w:rsidRDefault="009172AD">
      <w:pPr>
        <w:rPr>
          <w:rFonts w:cs="Times New Roman"/>
          <w:szCs w:val="20"/>
        </w:rPr>
      </w:pPr>
      <w:r w:rsidRPr="00AC2FE5">
        <w:rPr>
          <w:rFonts w:cs="Times New Roman"/>
          <w:szCs w:val="20"/>
        </w:rPr>
        <w:t>Regardless of the time horizon of your goals, the simple fact remains that the more time you have, the more likely you are to succeed as an investor. Why? There are two reasons. The first is the miracle of compound growth</w:t>
      </w:r>
      <w:r w:rsidR="00851791">
        <w:rPr>
          <w:rFonts w:cs="Times New Roman"/>
          <w:szCs w:val="20"/>
        </w:rPr>
        <w:t>. T</w:t>
      </w:r>
      <w:r w:rsidRPr="00AC2FE5">
        <w:rPr>
          <w:rFonts w:cs="Times New Roman"/>
          <w:szCs w:val="20"/>
        </w:rPr>
        <w:t>he second is the phenomenon of risk reduction over time.</w:t>
      </w:r>
      <w:r w:rsidR="005A72F9">
        <w:rPr>
          <w:rFonts w:cs="Times New Roman"/>
          <w:szCs w:val="20"/>
        </w:rPr>
        <w:t xml:space="preserve"> </w:t>
      </w:r>
    </w:p>
    <w:p w14:paraId="0A167B05" w14:textId="77777777" w:rsidR="001B7D01" w:rsidRPr="00AC2FE5" w:rsidRDefault="001B7D01">
      <w:pPr>
        <w:rPr>
          <w:rFonts w:cs="Times New Roman"/>
          <w:szCs w:val="20"/>
        </w:rPr>
      </w:pPr>
    </w:p>
    <w:p w14:paraId="1B7A1EFF" w14:textId="77777777" w:rsidR="009172AD" w:rsidRPr="000941F4" w:rsidRDefault="009172AD" w:rsidP="009172AD">
      <w:pPr>
        <w:pStyle w:val="Heading3"/>
      </w:pPr>
      <w:r w:rsidRPr="000941F4">
        <w:t>The Miracle of Compound Growth</w:t>
      </w:r>
    </w:p>
    <w:p w14:paraId="3703EE9C" w14:textId="77777777" w:rsidR="009172AD" w:rsidRPr="000941F4" w:rsidRDefault="009172AD">
      <w:pPr>
        <w:rPr>
          <w:rFonts w:cs="Times New Roman"/>
          <w:szCs w:val="20"/>
        </w:rPr>
      </w:pPr>
    </w:p>
    <w:p w14:paraId="2CE5A593" w14:textId="77777777" w:rsidR="009172AD" w:rsidRPr="00AC2FE5" w:rsidRDefault="009172AD">
      <w:pPr>
        <w:rPr>
          <w:rFonts w:cs="Times New Roman"/>
          <w:szCs w:val="20"/>
        </w:rPr>
      </w:pPr>
      <w:r w:rsidRPr="000941F4">
        <w:rPr>
          <w:rFonts w:cs="Times New Roman"/>
          <w:szCs w:val="20"/>
        </w:rPr>
        <w:t>Compound growth operates on a very simple principle. When you put money aside</w:t>
      </w:r>
      <w:r w:rsidRPr="00AC2FE5">
        <w:rPr>
          <w:rFonts w:cs="Times New Roman"/>
          <w:szCs w:val="20"/>
        </w:rPr>
        <w:t xml:space="preserve"> to earn returns, and then reinvest those returns, you have both your original investment and the returns working for you. The longer you allow this process to continue, the greater your accumulation will likely be. Imagine putting $1 million into an investment that consistently earns 8 percent every year. The table below shows how the compounding process works.</w:t>
      </w:r>
      <w:r w:rsidRPr="00AC2FE5">
        <w:rPr>
          <w:rStyle w:val="FootnoteReference"/>
          <w:rFonts w:cs="Times New Roman"/>
          <w:szCs w:val="20"/>
        </w:rPr>
        <w:footnoteReference w:id="1"/>
      </w:r>
    </w:p>
    <w:p w14:paraId="010DB626" w14:textId="77777777" w:rsidR="009172AD" w:rsidRPr="00AC2FE5" w:rsidRDefault="009172AD">
      <w:pPr>
        <w:rPr>
          <w:rFonts w:cs="Times New Roman"/>
          <w:szCs w:val="20"/>
        </w:rPr>
      </w:pPr>
    </w:p>
    <w:tbl>
      <w:tblPr>
        <w:tblW w:w="0" w:type="auto"/>
        <w:tblInd w:w="1440" w:type="dxa"/>
        <w:tblLayout w:type="fixed"/>
        <w:tblLook w:val="0000" w:firstRow="0" w:lastRow="0" w:firstColumn="0" w:lastColumn="0" w:noHBand="0" w:noVBand="0"/>
      </w:tblPr>
      <w:tblGrid>
        <w:gridCol w:w="915"/>
        <w:gridCol w:w="2101"/>
        <w:gridCol w:w="1475"/>
        <w:gridCol w:w="1869"/>
      </w:tblGrid>
      <w:tr w:rsidR="009172AD" w:rsidRPr="00AC2FE5" w14:paraId="2C3A1C0C" w14:textId="77777777" w:rsidTr="00800104">
        <w:trPr>
          <w:trHeight w:val="532"/>
        </w:trPr>
        <w:tc>
          <w:tcPr>
            <w:tcW w:w="915" w:type="dxa"/>
            <w:tcBorders>
              <w:top w:val="single" w:sz="8" w:space="0" w:color="auto"/>
              <w:left w:val="single" w:sz="8" w:space="0" w:color="auto"/>
              <w:bottom w:val="single" w:sz="8" w:space="0" w:color="auto"/>
              <w:right w:val="single" w:sz="8" w:space="0" w:color="auto"/>
            </w:tcBorders>
            <w:vAlign w:val="center"/>
          </w:tcPr>
          <w:p w14:paraId="061176B2" w14:textId="77777777" w:rsidR="009172AD" w:rsidRPr="00AC2FE5" w:rsidRDefault="009172AD">
            <w:pPr>
              <w:jc w:val="center"/>
              <w:rPr>
                <w:rFonts w:cs="Times New Roman"/>
                <w:b/>
                <w:bCs/>
                <w:szCs w:val="20"/>
              </w:rPr>
            </w:pPr>
            <w:r w:rsidRPr="00AC2FE5">
              <w:rPr>
                <w:rFonts w:cs="Times New Roman"/>
                <w:b/>
                <w:bCs/>
                <w:szCs w:val="20"/>
              </w:rPr>
              <w:t>Year</w:t>
            </w:r>
          </w:p>
        </w:tc>
        <w:tc>
          <w:tcPr>
            <w:tcW w:w="2101" w:type="dxa"/>
            <w:tcBorders>
              <w:top w:val="single" w:sz="8" w:space="0" w:color="auto"/>
              <w:left w:val="nil"/>
              <w:bottom w:val="single" w:sz="8" w:space="0" w:color="auto"/>
              <w:right w:val="single" w:sz="8" w:space="0" w:color="auto"/>
            </w:tcBorders>
            <w:vAlign w:val="center"/>
          </w:tcPr>
          <w:p w14:paraId="6703488E" w14:textId="77777777" w:rsidR="009172AD" w:rsidRPr="00AC2FE5" w:rsidRDefault="009172AD">
            <w:pPr>
              <w:jc w:val="center"/>
              <w:rPr>
                <w:rFonts w:cs="Times New Roman"/>
                <w:b/>
                <w:bCs/>
                <w:szCs w:val="20"/>
              </w:rPr>
            </w:pPr>
            <w:r w:rsidRPr="00AC2FE5">
              <w:rPr>
                <w:rFonts w:cs="Times New Roman"/>
                <w:b/>
                <w:bCs/>
                <w:szCs w:val="20"/>
              </w:rPr>
              <w:t>Starting Amount</w:t>
            </w:r>
          </w:p>
        </w:tc>
        <w:tc>
          <w:tcPr>
            <w:tcW w:w="1475" w:type="dxa"/>
            <w:tcBorders>
              <w:top w:val="single" w:sz="8" w:space="0" w:color="auto"/>
              <w:left w:val="nil"/>
              <w:bottom w:val="single" w:sz="8" w:space="0" w:color="auto"/>
              <w:right w:val="single" w:sz="8" w:space="0" w:color="auto"/>
            </w:tcBorders>
            <w:vAlign w:val="center"/>
          </w:tcPr>
          <w:p w14:paraId="04035646" w14:textId="77777777" w:rsidR="009172AD" w:rsidRPr="00AC2FE5" w:rsidRDefault="009172AD">
            <w:pPr>
              <w:jc w:val="center"/>
              <w:rPr>
                <w:rFonts w:cs="Times New Roman"/>
                <w:b/>
                <w:bCs/>
                <w:szCs w:val="20"/>
              </w:rPr>
            </w:pPr>
            <w:r w:rsidRPr="00AC2FE5">
              <w:rPr>
                <w:rFonts w:cs="Times New Roman"/>
                <w:b/>
                <w:bCs/>
                <w:szCs w:val="20"/>
              </w:rPr>
              <w:t>Earnings</w:t>
            </w:r>
          </w:p>
        </w:tc>
        <w:tc>
          <w:tcPr>
            <w:tcW w:w="1869" w:type="dxa"/>
            <w:tcBorders>
              <w:top w:val="single" w:sz="8" w:space="0" w:color="auto"/>
              <w:left w:val="nil"/>
              <w:bottom w:val="single" w:sz="8" w:space="0" w:color="auto"/>
              <w:right w:val="single" w:sz="8" w:space="0" w:color="auto"/>
            </w:tcBorders>
            <w:vAlign w:val="center"/>
          </w:tcPr>
          <w:p w14:paraId="0F117820" w14:textId="77777777" w:rsidR="009172AD" w:rsidRPr="00AC2FE5" w:rsidRDefault="009172AD">
            <w:pPr>
              <w:jc w:val="center"/>
              <w:rPr>
                <w:rFonts w:cs="Times New Roman"/>
                <w:b/>
                <w:bCs/>
                <w:szCs w:val="20"/>
              </w:rPr>
            </w:pPr>
            <w:r w:rsidRPr="00AC2FE5">
              <w:rPr>
                <w:rFonts w:cs="Times New Roman"/>
                <w:b/>
                <w:bCs/>
                <w:szCs w:val="20"/>
              </w:rPr>
              <w:t>Ending Amount</w:t>
            </w:r>
          </w:p>
        </w:tc>
      </w:tr>
      <w:tr w:rsidR="009172AD" w:rsidRPr="00AC2FE5" w14:paraId="7023AFE6" w14:textId="77777777" w:rsidTr="00800104">
        <w:trPr>
          <w:trHeight w:val="234"/>
        </w:trPr>
        <w:tc>
          <w:tcPr>
            <w:tcW w:w="915" w:type="dxa"/>
            <w:tcBorders>
              <w:top w:val="single" w:sz="8" w:space="0" w:color="auto"/>
              <w:left w:val="single" w:sz="8" w:space="0" w:color="auto"/>
              <w:bottom w:val="single" w:sz="8" w:space="0" w:color="auto"/>
              <w:right w:val="single" w:sz="8" w:space="0" w:color="auto"/>
            </w:tcBorders>
            <w:vAlign w:val="center"/>
          </w:tcPr>
          <w:p w14:paraId="4C52C995" w14:textId="77777777" w:rsidR="009172AD" w:rsidRPr="00AC2FE5" w:rsidRDefault="009172AD">
            <w:pPr>
              <w:jc w:val="center"/>
              <w:rPr>
                <w:rFonts w:cs="Times New Roman"/>
                <w:szCs w:val="20"/>
              </w:rPr>
            </w:pPr>
            <w:r w:rsidRPr="00AC2FE5">
              <w:rPr>
                <w:rFonts w:cs="Times New Roman"/>
                <w:szCs w:val="20"/>
              </w:rPr>
              <w:t>1</w:t>
            </w:r>
          </w:p>
        </w:tc>
        <w:tc>
          <w:tcPr>
            <w:tcW w:w="2101" w:type="dxa"/>
            <w:tcBorders>
              <w:top w:val="single" w:sz="8" w:space="0" w:color="auto"/>
              <w:left w:val="nil"/>
              <w:bottom w:val="single" w:sz="8" w:space="0" w:color="auto"/>
              <w:right w:val="single" w:sz="8" w:space="0" w:color="auto"/>
            </w:tcBorders>
            <w:vAlign w:val="center"/>
          </w:tcPr>
          <w:p w14:paraId="1F0C2F13" w14:textId="77777777" w:rsidR="009172AD" w:rsidRPr="00AC2FE5" w:rsidRDefault="009172AD">
            <w:pPr>
              <w:jc w:val="center"/>
              <w:rPr>
                <w:rFonts w:cs="Times New Roman"/>
                <w:szCs w:val="20"/>
              </w:rPr>
            </w:pPr>
            <w:r w:rsidRPr="00AC2FE5">
              <w:rPr>
                <w:rFonts w:cs="Times New Roman"/>
                <w:szCs w:val="20"/>
              </w:rPr>
              <w:t>$1,000,000</w:t>
            </w:r>
          </w:p>
        </w:tc>
        <w:tc>
          <w:tcPr>
            <w:tcW w:w="1475" w:type="dxa"/>
            <w:tcBorders>
              <w:top w:val="single" w:sz="8" w:space="0" w:color="auto"/>
              <w:left w:val="nil"/>
              <w:bottom w:val="single" w:sz="8" w:space="0" w:color="auto"/>
              <w:right w:val="single" w:sz="8" w:space="0" w:color="auto"/>
            </w:tcBorders>
            <w:vAlign w:val="center"/>
          </w:tcPr>
          <w:p w14:paraId="3176AC7E" w14:textId="77777777" w:rsidR="009172AD" w:rsidRPr="00AC2FE5" w:rsidRDefault="009172AD">
            <w:pPr>
              <w:jc w:val="center"/>
              <w:rPr>
                <w:rFonts w:cs="Times New Roman"/>
                <w:szCs w:val="20"/>
              </w:rPr>
            </w:pPr>
            <w:r w:rsidRPr="00AC2FE5">
              <w:rPr>
                <w:rFonts w:cs="Times New Roman"/>
                <w:szCs w:val="20"/>
              </w:rPr>
              <w:t>$80,000</w:t>
            </w:r>
          </w:p>
        </w:tc>
        <w:tc>
          <w:tcPr>
            <w:tcW w:w="1869" w:type="dxa"/>
            <w:tcBorders>
              <w:top w:val="single" w:sz="8" w:space="0" w:color="auto"/>
              <w:left w:val="nil"/>
              <w:bottom w:val="single" w:sz="8" w:space="0" w:color="auto"/>
              <w:right w:val="single" w:sz="8" w:space="0" w:color="auto"/>
            </w:tcBorders>
            <w:vAlign w:val="center"/>
          </w:tcPr>
          <w:p w14:paraId="30C42748" w14:textId="77777777" w:rsidR="009172AD" w:rsidRPr="00AC2FE5" w:rsidRDefault="009172AD">
            <w:pPr>
              <w:jc w:val="center"/>
              <w:rPr>
                <w:rFonts w:cs="Times New Roman"/>
                <w:szCs w:val="20"/>
              </w:rPr>
            </w:pPr>
            <w:r w:rsidRPr="00AC2FE5">
              <w:rPr>
                <w:rFonts w:cs="Times New Roman"/>
                <w:szCs w:val="20"/>
              </w:rPr>
              <w:t>$1,080,000</w:t>
            </w:r>
          </w:p>
        </w:tc>
      </w:tr>
      <w:tr w:rsidR="009172AD" w:rsidRPr="00AC2FE5" w14:paraId="106374DA" w14:textId="77777777" w:rsidTr="00800104">
        <w:trPr>
          <w:trHeight w:val="234"/>
        </w:trPr>
        <w:tc>
          <w:tcPr>
            <w:tcW w:w="915" w:type="dxa"/>
            <w:tcBorders>
              <w:top w:val="single" w:sz="8" w:space="0" w:color="auto"/>
              <w:left w:val="single" w:sz="8" w:space="0" w:color="auto"/>
              <w:bottom w:val="single" w:sz="8" w:space="0" w:color="auto"/>
              <w:right w:val="single" w:sz="8" w:space="0" w:color="auto"/>
            </w:tcBorders>
            <w:shd w:val="clear" w:color="auto" w:fill="D9D9D9"/>
            <w:vAlign w:val="center"/>
          </w:tcPr>
          <w:p w14:paraId="241FF3FB" w14:textId="77777777" w:rsidR="009172AD" w:rsidRPr="00AC2FE5" w:rsidRDefault="009172AD">
            <w:pPr>
              <w:jc w:val="center"/>
              <w:rPr>
                <w:rFonts w:cs="Times New Roman"/>
                <w:szCs w:val="20"/>
              </w:rPr>
            </w:pPr>
            <w:r w:rsidRPr="00AC2FE5">
              <w:rPr>
                <w:rFonts w:cs="Times New Roman"/>
                <w:szCs w:val="20"/>
              </w:rPr>
              <w:t>2</w:t>
            </w:r>
          </w:p>
        </w:tc>
        <w:tc>
          <w:tcPr>
            <w:tcW w:w="2101" w:type="dxa"/>
            <w:tcBorders>
              <w:top w:val="single" w:sz="8" w:space="0" w:color="auto"/>
              <w:left w:val="nil"/>
              <w:bottom w:val="single" w:sz="8" w:space="0" w:color="auto"/>
              <w:right w:val="single" w:sz="8" w:space="0" w:color="auto"/>
            </w:tcBorders>
            <w:shd w:val="clear" w:color="auto" w:fill="D9D9D9"/>
            <w:vAlign w:val="center"/>
          </w:tcPr>
          <w:p w14:paraId="78DFAD89" w14:textId="77777777" w:rsidR="009172AD" w:rsidRPr="00AC2FE5" w:rsidRDefault="009172AD">
            <w:pPr>
              <w:jc w:val="center"/>
              <w:rPr>
                <w:rFonts w:cs="Times New Roman"/>
                <w:szCs w:val="20"/>
              </w:rPr>
            </w:pPr>
            <w:r w:rsidRPr="00AC2FE5">
              <w:rPr>
                <w:rFonts w:cs="Times New Roman"/>
                <w:szCs w:val="20"/>
              </w:rPr>
              <w:t>$1,080,000</w:t>
            </w:r>
          </w:p>
        </w:tc>
        <w:tc>
          <w:tcPr>
            <w:tcW w:w="1475" w:type="dxa"/>
            <w:tcBorders>
              <w:top w:val="single" w:sz="8" w:space="0" w:color="auto"/>
              <w:left w:val="nil"/>
              <w:bottom w:val="single" w:sz="8" w:space="0" w:color="auto"/>
              <w:right w:val="single" w:sz="8" w:space="0" w:color="auto"/>
            </w:tcBorders>
            <w:shd w:val="clear" w:color="auto" w:fill="D9D9D9"/>
            <w:vAlign w:val="center"/>
          </w:tcPr>
          <w:p w14:paraId="38115A4E" w14:textId="77777777" w:rsidR="009172AD" w:rsidRPr="00AC2FE5" w:rsidRDefault="009172AD">
            <w:pPr>
              <w:jc w:val="center"/>
              <w:rPr>
                <w:rFonts w:cs="Times New Roman"/>
                <w:szCs w:val="20"/>
              </w:rPr>
            </w:pPr>
            <w:r w:rsidRPr="00AC2FE5">
              <w:rPr>
                <w:rFonts w:cs="Times New Roman"/>
                <w:szCs w:val="20"/>
              </w:rPr>
              <w:t>$86,400</w:t>
            </w:r>
          </w:p>
        </w:tc>
        <w:tc>
          <w:tcPr>
            <w:tcW w:w="1869" w:type="dxa"/>
            <w:tcBorders>
              <w:top w:val="single" w:sz="8" w:space="0" w:color="auto"/>
              <w:left w:val="nil"/>
              <w:bottom w:val="single" w:sz="8" w:space="0" w:color="auto"/>
              <w:right w:val="single" w:sz="8" w:space="0" w:color="auto"/>
            </w:tcBorders>
            <w:shd w:val="clear" w:color="auto" w:fill="D9D9D9"/>
            <w:vAlign w:val="center"/>
          </w:tcPr>
          <w:p w14:paraId="0CC22DCB" w14:textId="77777777" w:rsidR="009172AD" w:rsidRPr="00AC2FE5" w:rsidRDefault="009172AD">
            <w:pPr>
              <w:jc w:val="center"/>
              <w:rPr>
                <w:rFonts w:cs="Times New Roman"/>
                <w:szCs w:val="20"/>
              </w:rPr>
            </w:pPr>
            <w:r w:rsidRPr="00AC2FE5">
              <w:rPr>
                <w:rFonts w:cs="Times New Roman"/>
                <w:szCs w:val="20"/>
              </w:rPr>
              <w:t>$1,166,400</w:t>
            </w:r>
          </w:p>
        </w:tc>
      </w:tr>
      <w:tr w:rsidR="009172AD" w:rsidRPr="00AC2FE5" w14:paraId="0B805AFD" w14:textId="77777777" w:rsidTr="00800104">
        <w:trPr>
          <w:trHeight w:val="234"/>
        </w:trPr>
        <w:tc>
          <w:tcPr>
            <w:tcW w:w="915" w:type="dxa"/>
            <w:tcBorders>
              <w:top w:val="single" w:sz="8" w:space="0" w:color="auto"/>
              <w:left w:val="single" w:sz="8" w:space="0" w:color="auto"/>
              <w:bottom w:val="single" w:sz="8" w:space="0" w:color="auto"/>
              <w:right w:val="single" w:sz="8" w:space="0" w:color="auto"/>
            </w:tcBorders>
            <w:vAlign w:val="center"/>
          </w:tcPr>
          <w:p w14:paraId="52869A33" w14:textId="77777777" w:rsidR="009172AD" w:rsidRPr="00AC2FE5" w:rsidRDefault="009172AD">
            <w:pPr>
              <w:jc w:val="center"/>
              <w:rPr>
                <w:rFonts w:cs="Times New Roman"/>
                <w:szCs w:val="20"/>
              </w:rPr>
            </w:pPr>
            <w:r w:rsidRPr="00AC2FE5">
              <w:rPr>
                <w:rFonts w:cs="Times New Roman"/>
                <w:szCs w:val="20"/>
              </w:rPr>
              <w:t>3</w:t>
            </w:r>
          </w:p>
        </w:tc>
        <w:tc>
          <w:tcPr>
            <w:tcW w:w="2101" w:type="dxa"/>
            <w:tcBorders>
              <w:top w:val="single" w:sz="8" w:space="0" w:color="auto"/>
              <w:left w:val="nil"/>
              <w:bottom w:val="single" w:sz="8" w:space="0" w:color="auto"/>
              <w:right w:val="single" w:sz="8" w:space="0" w:color="auto"/>
            </w:tcBorders>
            <w:vAlign w:val="center"/>
          </w:tcPr>
          <w:p w14:paraId="10D6698D" w14:textId="77777777" w:rsidR="009172AD" w:rsidRPr="00AC2FE5" w:rsidRDefault="009172AD">
            <w:pPr>
              <w:jc w:val="center"/>
              <w:rPr>
                <w:rFonts w:cs="Times New Roman"/>
                <w:szCs w:val="20"/>
              </w:rPr>
            </w:pPr>
            <w:r w:rsidRPr="00AC2FE5">
              <w:rPr>
                <w:rFonts w:cs="Times New Roman"/>
                <w:szCs w:val="20"/>
              </w:rPr>
              <w:t>$1,166,400</w:t>
            </w:r>
          </w:p>
        </w:tc>
        <w:tc>
          <w:tcPr>
            <w:tcW w:w="1475" w:type="dxa"/>
            <w:tcBorders>
              <w:top w:val="single" w:sz="8" w:space="0" w:color="auto"/>
              <w:left w:val="nil"/>
              <w:bottom w:val="single" w:sz="8" w:space="0" w:color="auto"/>
              <w:right w:val="single" w:sz="8" w:space="0" w:color="auto"/>
            </w:tcBorders>
            <w:vAlign w:val="center"/>
          </w:tcPr>
          <w:p w14:paraId="0C9C0398" w14:textId="77777777" w:rsidR="009172AD" w:rsidRPr="00AC2FE5" w:rsidRDefault="009172AD">
            <w:pPr>
              <w:jc w:val="center"/>
              <w:rPr>
                <w:rFonts w:cs="Times New Roman"/>
                <w:szCs w:val="20"/>
              </w:rPr>
            </w:pPr>
            <w:r w:rsidRPr="00AC2FE5">
              <w:rPr>
                <w:rFonts w:cs="Times New Roman"/>
                <w:szCs w:val="20"/>
              </w:rPr>
              <w:t>$93,312</w:t>
            </w:r>
          </w:p>
        </w:tc>
        <w:tc>
          <w:tcPr>
            <w:tcW w:w="1869" w:type="dxa"/>
            <w:tcBorders>
              <w:top w:val="single" w:sz="8" w:space="0" w:color="auto"/>
              <w:left w:val="nil"/>
              <w:bottom w:val="single" w:sz="8" w:space="0" w:color="auto"/>
              <w:right w:val="single" w:sz="8" w:space="0" w:color="auto"/>
            </w:tcBorders>
            <w:vAlign w:val="center"/>
          </w:tcPr>
          <w:p w14:paraId="584288A1" w14:textId="77777777" w:rsidR="009172AD" w:rsidRPr="00AC2FE5" w:rsidRDefault="009172AD">
            <w:pPr>
              <w:jc w:val="center"/>
              <w:rPr>
                <w:rFonts w:cs="Times New Roman"/>
                <w:szCs w:val="20"/>
              </w:rPr>
            </w:pPr>
            <w:r w:rsidRPr="00AC2FE5">
              <w:rPr>
                <w:rFonts w:cs="Times New Roman"/>
                <w:szCs w:val="20"/>
              </w:rPr>
              <w:t>$1,259,712</w:t>
            </w:r>
          </w:p>
        </w:tc>
      </w:tr>
      <w:tr w:rsidR="009172AD" w:rsidRPr="00AC2FE5" w14:paraId="3D64CFAE" w14:textId="77777777" w:rsidTr="00800104">
        <w:trPr>
          <w:trHeight w:val="234"/>
        </w:trPr>
        <w:tc>
          <w:tcPr>
            <w:tcW w:w="915" w:type="dxa"/>
            <w:tcBorders>
              <w:top w:val="single" w:sz="8" w:space="0" w:color="auto"/>
              <w:left w:val="single" w:sz="8" w:space="0" w:color="auto"/>
              <w:bottom w:val="single" w:sz="8" w:space="0" w:color="auto"/>
              <w:right w:val="single" w:sz="8" w:space="0" w:color="auto"/>
            </w:tcBorders>
            <w:shd w:val="clear" w:color="auto" w:fill="D9D9D9"/>
            <w:vAlign w:val="center"/>
          </w:tcPr>
          <w:p w14:paraId="562F4EDC" w14:textId="77777777" w:rsidR="009172AD" w:rsidRPr="00AC2FE5" w:rsidRDefault="009172AD">
            <w:pPr>
              <w:jc w:val="center"/>
              <w:rPr>
                <w:rFonts w:cs="Times New Roman"/>
                <w:szCs w:val="20"/>
              </w:rPr>
            </w:pPr>
            <w:r w:rsidRPr="00AC2FE5">
              <w:rPr>
                <w:rFonts w:cs="Times New Roman"/>
                <w:szCs w:val="20"/>
              </w:rPr>
              <w:t>10</w:t>
            </w:r>
          </w:p>
        </w:tc>
        <w:tc>
          <w:tcPr>
            <w:tcW w:w="2101" w:type="dxa"/>
            <w:tcBorders>
              <w:top w:val="single" w:sz="8" w:space="0" w:color="auto"/>
              <w:left w:val="nil"/>
              <w:bottom w:val="single" w:sz="8" w:space="0" w:color="auto"/>
              <w:right w:val="single" w:sz="8" w:space="0" w:color="auto"/>
            </w:tcBorders>
            <w:shd w:val="clear" w:color="auto" w:fill="D9D9D9"/>
            <w:vAlign w:val="center"/>
          </w:tcPr>
          <w:p w14:paraId="6FF13B8A" w14:textId="77777777" w:rsidR="009172AD" w:rsidRPr="00AC2FE5" w:rsidRDefault="009172AD">
            <w:pPr>
              <w:jc w:val="center"/>
              <w:rPr>
                <w:rFonts w:cs="Times New Roman"/>
                <w:szCs w:val="20"/>
              </w:rPr>
            </w:pPr>
            <w:r w:rsidRPr="00AC2FE5">
              <w:rPr>
                <w:rFonts w:cs="Times New Roman"/>
                <w:szCs w:val="20"/>
              </w:rPr>
              <w:t>$1,999,005</w:t>
            </w:r>
          </w:p>
        </w:tc>
        <w:tc>
          <w:tcPr>
            <w:tcW w:w="1475" w:type="dxa"/>
            <w:tcBorders>
              <w:top w:val="single" w:sz="8" w:space="0" w:color="auto"/>
              <w:left w:val="nil"/>
              <w:bottom w:val="single" w:sz="8" w:space="0" w:color="auto"/>
              <w:right w:val="single" w:sz="8" w:space="0" w:color="auto"/>
            </w:tcBorders>
            <w:shd w:val="clear" w:color="auto" w:fill="D9D9D9"/>
            <w:vAlign w:val="center"/>
          </w:tcPr>
          <w:p w14:paraId="1486135F" w14:textId="77777777" w:rsidR="009172AD" w:rsidRPr="00AC2FE5" w:rsidRDefault="009172AD">
            <w:pPr>
              <w:jc w:val="center"/>
              <w:rPr>
                <w:rFonts w:cs="Times New Roman"/>
                <w:szCs w:val="20"/>
              </w:rPr>
            </w:pPr>
            <w:r w:rsidRPr="00AC2FE5">
              <w:rPr>
                <w:rFonts w:cs="Times New Roman"/>
                <w:szCs w:val="20"/>
              </w:rPr>
              <w:t>$159,920</w:t>
            </w:r>
          </w:p>
        </w:tc>
        <w:tc>
          <w:tcPr>
            <w:tcW w:w="1869" w:type="dxa"/>
            <w:tcBorders>
              <w:top w:val="single" w:sz="8" w:space="0" w:color="auto"/>
              <w:left w:val="nil"/>
              <w:bottom w:val="single" w:sz="8" w:space="0" w:color="auto"/>
              <w:right w:val="single" w:sz="8" w:space="0" w:color="auto"/>
            </w:tcBorders>
            <w:shd w:val="clear" w:color="auto" w:fill="D9D9D9"/>
            <w:vAlign w:val="center"/>
          </w:tcPr>
          <w:p w14:paraId="76A1EF43" w14:textId="77777777" w:rsidR="009172AD" w:rsidRPr="00AC2FE5" w:rsidRDefault="009172AD">
            <w:pPr>
              <w:jc w:val="center"/>
              <w:rPr>
                <w:rFonts w:cs="Times New Roman"/>
                <w:szCs w:val="20"/>
              </w:rPr>
            </w:pPr>
            <w:r w:rsidRPr="00AC2FE5">
              <w:rPr>
                <w:rFonts w:cs="Times New Roman"/>
                <w:szCs w:val="20"/>
              </w:rPr>
              <w:t>$2,158,925</w:t>
            </w:r>
          </w:p>
        </w:tc>
      </w:tr>
      <w:tr w:rsidR="009172AD" w:rsidRPr="00AC2FE5" w14:paraId="614477BC" w14:textId="77777777" w:rsidTr="00800104">
        <w:trPr>
          <w:trHeight w:val="234"/>
        </w:trPr>
        <w:tc>
          <w:tcPr>
            <w:tcW w:w="915" w:type="dxa"/>
            <w:tcBorders>
              <w:top w:val="single" w:sz="8" w:space="0" w:color="auto"/>
              <w:left w:val="single" w:sz="8" w:space="0" w:color="auto"/>
              <w:bottom w:val="single" w:sz="8" w:space="0" w:color="auto"/>
              <w:right w:val="single" w:sz="8" w:space="0" w:color="auto"/>
            </w:tcBorders>
            <w:vAlign w:val="center"/>
          </w:tcPr>
          <w:p w14:paraId="5F80273E" w14:textId="77777777" w:rsidR="009172AD" w:rsidRPr="00AC2FE5" w:rsidRDefault="009172AD">
            <w:pPr>
              <w:jc w:val="center"/>
              <w:rPr>
                <w:rFonts w:cs="Times New Roman"/>
                <w:szCs w:val="20"/>
              </w:rPr>
            </w:pPr>
            <w:r w:rsidRPr="00AC2FE5">
              <w:rPr>
                <w:rFonts w:cs="Times New Roman"/>
                <w:szCs w:val="20"/>
              </w:rPr>
              <w:t>20</w:t>
            </w:r>
          </w:p>
        </w:tc>
        <w:tc>
          <w:tcPr>
            <w:tcW w:w="2101" w:type="dxa"/>
            <w:tcBorders>
              <w:top w:val="single" w:sz="8" w:space="0" w:color="auto"/>
              <w:left w:val="nil"/>
              <w:bottom w:val="single" w:sz="8" w:space="0" w:color="auto"/>
              <w:right w:val="single" w:sz="8" w:space="0" w:color="auto"/>
            </w:tcBorders>
            <w:vAlign w:val="center"/>
          </w:tcPr>
          <w:p w14:paraId="526E57FA" w14:textId="77777777" w:rsidR="009172AD" w:rsidRPr="00AC2FE5" w:rsidRDefault="009172AD">
            <w:pPr>
              <w:jc w:val="center"/>
              <w:rPr>
                <w:rFonts w:cs="Times New Roman"/>
                <w:szCs w:val="20"/>
              </w:rPr>
            </w:pPr>
            <w:r w:rsidRPr="00AC2FE5">
              <w:rPr>
                <w:rFonts w:cs="Times New Roman"/>
                <w:szCs w:val="20"/>
              </w:rPr>
              <w:t>$4,315,701</w:t>
            </w:r>
          </w:p>
        </w:tc>
        <w:tc>
          <w:tcPr>
            <w:tcW w:w="1475" w:type="dxa"/>
            <w:tcBorders>
              <w:top w:val="single" w:sz="8" w:space="0" w:color="auto"/>
              <w:left w:val="nil"/>
              <w:bottom w:val="single" w:sz="8" w:space="0" w:color="auto"/>
              <w:right w:val="single" w:sz="8" w:space="0" w:color="auto"/>
            </w:tcBorders>
            <w:vAlign w:val="center"/>
          </w:tcPr>
          <w:p w14:paraId="6E320595" w14:textId="77777777" w:rsidR="009172AD" w:rsidRPr="00AC2FE5" w:rsidRDefault="009172AD">
            <w:pPr>
              <w:jc w:val="center"/>
              <w:rPr>
                <w:rFonts w:cs="Times New Roman"/>
                <w:szCs w:val="20"/>
              </w:rPr>
            </w:pPr>
            <w:r w:rsidRPr="00AC2FE5">
              <w:rPr>
                <w:rFonts w:cs="Times New Roman"/>
                <w:szCs w:val="20"/>
              </w:rPr>
              <w:t>$345,256</w:t>
            </w:r>
          </w:p>
        </w:tc>
        <w:tc>
          <w:tcPr>
            <w:tcW w:w="1869" w:type="dxa"/>
            <w:tcBorders>
              <w:top w:val="single" w:sz="8" w:space="0" w:color="auto"/>
              <w:left w:val="nil"/>
              <w:bottom w:val="single" w:sz="8" w:space="0" w:color="auto"/>
              <w:right w:val="single" w:sz="8" w:space="0" w:color="auto"/>
            </w:tcBorders>
            <w:vAlign w:val="center"/>
          </w:tcPr>
          <w:p w14:paraId="100D1753" w14:textId="77777777" w:rsidR="009172AD" w:rsidRPr="00AC2FE5" w:rsidRDefault="009172AD">
            <w:pPr>
              <w:jc w:val="center"/>
              <w:rPr>
                <w:rFonts w:cs="Times New Roman"/>
                <w:szCs w:val="20"/>
              </w:rPr>
            </w:pPr>
            <w:r w:rsidRPr="00AC2FE5">
              <w:rPr>
                <w:rFonts w:cs="Times New Roman"/>
                <w:szCs w:val="20"/>
              </w:rPr>
              <w:t>$4,660,957</w:t>
            </w:r>
          </w:p>
        </w:tc>
      </w:tr>
    </w:tbl>
    <w:p w14:paraId="1AB24410" w14:textId="77777777" w:rsidR="009172AD" w:rsidRPr="00AC2FE5" w:rsidRDefault="009172AD">
      <w:pPr>
        <w:jc w:val="center"/>
        <w:rPr>
          <w:rFonts w:cs="Times New Roman"/>
          <w:szCs w:val="20"/>
        </w:rPr>
      </w:pPr>
    </w:p>
    <w:p w14:paraId="43E9C858" w14:textId="77777777" w:rsidR="009172AD" w:rsidRPr="00AC2FE5" w:rsidRDefault="009172AD">
      <w:pPr>
        <w:rPr>
          <w:rFonts w:cs="Times New Roman"/>
          <w:szCs w:val="20"/>
        </w:rPr>
      </w:pPr>
      <w:r w:rsidRPr="00AC2FE5">
        <w:rPr>
          <w:rFonts w:cs="Times New Roman"/>
          <w:szCs w:val="20"/>
        </w:rPr>
        <w:t>At 8 percent, your investment would grow to more than 4½ times its original size in 20 years. To see the effect of compounding, notice that you would earn $1,158,925 in returns in the first ten years, but even more in the second ten years—$2,502,032.</w:t>
      </w:r>
    </w:p>
    <w:p w14:paraId="7AB7AA16" w14:textId="77777777" w:rsidR="009172AD" w:rsidRPr="00AC2FE5" w:rsidRDefault="009172AD">
      <w:pPr>
        <w:rPr>
          <w:rFonts w:cs="Times New Roman"/>
          <w:szCs w:val="20"/>
        </w:rPr>
      </w:pPr>
    </w:p>
    <w:p w14:paraId="73051130" w14:textId="77777777" w:rsidR="009172AD" w:rsidRPr="00AC2FE5" w:rsidRDefault="009172AD">
      <w:pPr>
        <w:rPr>
          <w:rFonts w:cs="Times New Roman"/>
          <w:szCs w:val="20"/>
        </w:rPr>
      </w:pPr>
      <w:r w:rsidRPr="00AC2FE5">
        <w:rPr>
          <w:rFonts w:cs="Times New Roman"/>
          <w:szCs w:val="20"/>
        </w:rPr>
        <w:t xml:space="preserve">While many people are familiar with the concept of compound growth, they may not be so strongly aware that time actually also helps reduce investment risk, especially in diversified portfolios of stocks. It is natural to worry that if you invest in the stock market today, it may go down tomorrow. But if you have a long investment horizon, tomorrow is just one of the thousands of market days during which you will be investing. Over long periods of time, many of the ups and downs in the market are cancelled out, leaving the broad market trend. </w:t>
      </w:r>
    </w:p>
    <w:p w14:paraId="247160BD" w14:textId="77777777" w:rsidR="009172AD" w:rsidRPr="00AC2FE5" w:rsidRDefault="009172AD">
      <w:pPr>
        <w:rPr>
          <w:rFonts w:cs="Times New Roman"/>
          <w:szCs w:val="20"/>
        </w:rPr>
      </w:pPr>
    </w:p>
    <w:p w14:paraId="05C96474" w14:textId="7360DE9A" w:rsidR="009172AD" w:rsidRPr="00AC2FE5" w:rsidRDefault="009172AD">
      <w:pPr>
        <w:rPr>
          <w:rFonts w:cs="Times New Roman"/>
          <w:szCs w:val="20"/>
        </w:rPr>
      </w:pPr>
      <w:r w:rsidRPr="00D12101">
        <w:rPr>
          <w:rFonts w:cs="Times New Roman"/>
          <w:szCs w:val="20"/>
        </w:rPr>
        <w:t xml:space="preserve">The following graph shows how the range of outcomes for U.S. large capitalized stocks narrows as your horizon becomes longer. It shows </w:t>
      </w:r>
      <w:r w:rsidR="00D12101" w:rsidRPr="00D12101">
        <w:rPr>
          <w:rFonts w:cs="Times New Roman"/>
          <w:szCs w:val="20"/>
        </w:rPr>
        <w:t xml:space="preserve">the best and worst returns </w:t>
      </w:r>
      <w:r w:rsidRPr="00D12101">
        <w:rPr>
          <w:rFonts w:cs="Times New Roman"/>
          <w:szCs w:val="20"/>
        </w:rPr>
        <w:t>of Standard &amp; Po</w:t>
      </w:r>
      <w:r w:rsidR="00B63AD3" w:rsidRPr="00D12101">
        <w:rPr>
          <w:rFonts w:cs="Times New Roman"/>
          <w:szCs w:val="20"/>
        </w:rPr>
        <w:t>or</w:t>
      </w:r>
      <w:r w:rsidR="00232C8D" w:rsidRPr="00D12101">
        <w:rPr>
          <w:rFonts w:cs="Times New Roman"/>
          <w:szCs w:val="20"/>
        </w:rPr>
        <w:t>’</w:t>
      </w:r>
      <w:r w:rsidR="00B63AD3" w:rsidRPr="00D12101">
        <w:rPr>
          <w:rFonts w:cs="Times New Roman"/>
          <w:szCs w:val="20"/>
        </w:rPr>
        <w:t xml:space="preserve">s 500 Index </w:t>
      </w:r>
      <w:r w:rsidR="00D12101" w:rsidRPr="00D12101">
        <w:rPr>
          <w:rFonts w:cs="Times New Roman"/>
          <w:szCs w:val="20"/>
        </w:rPr>
        <w:t xml:space="preserve">for several time frames </w:t>
      </w:r>
      <w:r w:rsidR="00B63AD3" w:rsidRPr="00D12101">
        <w:rPr>
          <w:rFonts w:cs="Times New Roman"/>
          <w:szCs w:val="20"/>
        </w:rPr>
        <w:t>from 1926 to 201</w:t>
      </w:r>
      <w:r w:rsidR="00D12101" w:rsidRPr="00D12101">
        <w:rPr>
          <w:rFonts w:cs="Times New Roman"/>
          <w:szCs w:val="20"/>
        </w:rPr>
        <w:t>9</w:t>
      </w:r>
      <w:r w:rsidRPr="00D12101">
        <w:rPr>
          <w:rFonts w:cs="Times New Roman"/>
          <w:szCs w:val="20"/>
        </w:rPr>
        <w:t>.</w:t>
      </w:r>
      <w:r w:rsidRPr="00D12101">
        <w:rPr>
          <w:rStyle w:val="FootnoteReference"/>
          <w:rFonts w:cs="Times New Roman"/>
          <w:szCs w:val="20"/>
        </w:rPr>
        <w:footnoteReference w:id="2"/>
      </w:r>
      <w:r w:rsidRPr="00D12101">
        <w:rPr>
          <w:rFonts w:cs="Times New Roman"/>
          <w:szCs w:val="20"/>
        </w:rPr>
        <w:t xml:space="preserve"> The market has produced a wide range of outcomes. An investor holding stocks for just </w:t>
      </w:r>
      <w:r w:rsidR="00D12101" w:rsidRPr="00D12101">
        <w:rPr>
          <w:rFonts w:cs="Times New Roman"/>
          <w:szCs w:val="20"/>
        </w:rPr>
        <w:t>12 months</w:t>
      </w:r>
      <w:r w:rsidRPr="00D12101">
        <w:rPr>
          <w:rFonts w:cs="Times New Roman"/>
          <w:szCs w:val="20"/>
        </w:rPr>
        <w:t xml:space="preserve"> could have had returns ranging from a high of </w:t>
      </w:r>
      <w:r w:rsidR="00D12101" w:rsidRPr="00D12101">
        <w:rPr>
          <w:rFonts w:cs="Times New Roman"/>
          <w:szCs w:val="20"/>
        </w:rPr>
        <w:t>162.9</w:t>
      </w:r>
      <w:r w:rsidRPr="00D12101">
        <w:rPr>
          <w:rFonts w:cs="Times New Roman"/>
          <w:szCs w:val="20"/>
        </w:rPr>
        <w:t xml:space="preserve"> percent to a low of -</w:t>
      </w:r>
      <w:r w:rsidR="00D12101" w:rsidRPr="00D12101">
        <w:rPr>
          <w:rFonts w:cs="Times New Roman"/>
          <w:szCs w:val="20"/>
        </w:rPr>
        <w:t>67.6</w:t>
      </w:r>
      <w:r w:rsidRPr="00D12101">
        <w:rPr>
          <w:rFonts w:cs="Times New Roman"/>
          <w:szCs w:val="20"/>
        </w:rPr>
        <w:t xml:space="preserve"> percent. An investor with a ten-year horizon could have experienced annualized returns ranging from a high of 2</w:t>
      </w:r>
      <w:r w:rsidR="00D12101" w:rsidRPr="00D12101">
        <w:rPr>
          <w:rFonts w:cs="Times New Roman"/>
          <w:szCs w:val="20"/>
        </w:rPr>
        <w:t>1.4</w:t>
      </w:r>
      <w:r w:rsidRPr="00D12101">
        <w:rPr>
          <w:rFonts w:cs="Times New Roman"/>
          <w:szCs w:val="20"/>
        </w:rPr>
        <w:t xml:space="preserve"> percent to a low of -</w:t>
      </w:r>
      <w:r w:rsidR="00D12101" w:rsidRPr="00D12101">
        <w:rPr>
          <w:rFonts w:cs="Times New Roman"/>
          <w:szCs w:val="20"/>
        </w:rPr>
        <w:t>5.0</w:t>
      </w:r>
      <w:r w:rsidRPr="00D12101">
        <w:rPr>
          <w:rFonts w:cs="Times New Roman"/>
          <w:szCs w:val="20"/>
        </w:rPr>
        <w:t xml:space="preserve"> percent. Investors would have had to have been invested for 240 months to have had all time periods result in positive returns.</w:t>
      </w:r>
      <w:r w:rsidR="004E459D" w:rsidRPr="00D12101">
        <w:rPr>
          <w:rStyle w:val="FootnoteReference"/>
          <w:rFonts w:cs="Times New Roman"/>
          <w:szCs w:val="20"/>
        </w:rPr>
        <w:footnoteReference w:id="3"/>
      </w:r>
    </w:p>
    <w:p w14:paraId="1A1F6460" w14:textId="77777777" w:rsidR="009172AD" w:rsidRPr="00AC2FE5" w:rsidRDefault="009172AD">
      <w:pPr>
        <w:rPr>
          <w:rFonts w:cs="Times New Roman"/>
          <w:szCs w:val="20"/>
        </w:rPr>
      </w:pPr>
      <w:r w:rsidRPr="00AC2FE5">
        <w:rPr>
          <w:rFonts w:cs="Times New Roman"/>
          <w:szCs w:val="20"/>
        </w:rPr>
        <w:br w:type="page"/>
      </w:r>
    </w:p>
    <w:p w14:paraId="415A6D20" w14:textId="77777777" w:rsidR="009172AD" w:rsidRPr="001E4AA8" w:rsidRDefault="009172AD">
      <w:pPr>
        <w:pBdr>
          <w:top w:val="single" w:sz="6" w:space="1" w:color="auto"/>
          <w:left w:val="single" w:sz="6" w:space="4" w:color="auto"/>
          <w:bottom w:val="single" w:sz="6" w:space="1" w:color="auto"/>
          <w:right w:val="single" w:sz="6" w:space="4" w:color="auto"/>
        </w:pBdr>
        <w:jc w:val="center"/>
        <w:rPr>
          <w:rFonts w:cs="Times New Roman"/>
          <w:b/>
          <w:bCs/>
          <w:szCs w:val="20"/>
        </w:rPr>
      </w:pPr>
      <w:r w:rsidRPr="001E4AA8">
        <w:rPr>
          <w:rFonts w:cs="Times New Roman"/>
          <w:b/>
          <w:bCs/>
          <w:szCs w:val="20"/>
        </w:rPr>
        <w:t>Standard &amp; Poor</w:t>
      </w:r>
      <w:r w:rsidR="00232C8D">
        <w:rPr>
          <w:rFonts w:cs="Times New Roman"/>
          <w:b/>
          <w:bCs/>
          <w:szCs w:val="20"/>
        </w:rPr>
        <w:t>’</w:t>
      </w:r>
      <w:r w:rsidRPr="001E4AA8">
        <w:rPr>
          <w:rFonts w:cs="Times New Roman"/>
          <w:b/>
          <w:bCs/>
          <w:szCs w:val="20"/>
        </w:rPr>
        <w:t xml:space="preserve">s 500 Index </w:t>
      </w:r>
    </w:p>
    <w:p w14:paraId="45192B95" w14:textId="6EDED254" w:rsidR="009172AD" w:rsidRPr="001E4AA8" w:rsidRDefault="00132B81">
      <w:pPr>
        <w:pBdr>
          <w:top w:val="single" w:sz="6" w:space="1" w:color="auto"/>
          <w:left w:val="single" w:sz="6" w:space="4" w:color="auto"/>
          <w:bottom w:val="single" w:sz="6" w:space="1" w:color="auto"/>
          <w:right w:val="single" w:sz="6" w:space="4" w:color="auto"/>
        </w:pBdr>
        <w:jc w:val="center"/>
        <w:rPr>
          <w:rFonts w:cs="Times New Roman"/>
          <w:b/>
          <w:bCs/>
          <w:szCs w:val="20"/>
        </w:rPr>
      </w:pPr>
      <w:r>
        <w:rPr>
          <w:rFonts w:cs="Times New Roman"/>
          <w:b/>
          <w:bCs/>
          <w:szCs w:val="20"/>
        </w:rPr>
        <w:t>Best and Worst Returns</w:t>
      </w:r>
    </w:p>
    <w:p w14:paraId="71A9CD7D" w14:textId="4F693818" w:rsidR="009172AD" w:rsidRPr="001E4AA8" w:rsidRDefault="00077EC5">
      <w:pPr>
        <w:pBdr>
          <w:top w:val="single" w:sz="6" w:space="1" w:color="auto"/>
          <w:left w:val="single" w:sz="6" w:space="4" w:color="auto"/>
          <w:bottom w:val="single" w:sz="6" w:space="1" w:color="auto"/>
          <w:right w:val="single" w:sz="6" w:space="4" w:color="auto"/>
        </w:pBdr>
        <w:jc w:val="center"/>
        <w:rPr>
          <w:rFonts w:cs="Times New Roman"/>
          <w:b/>
          <w:bCs/>
          <w:sz w:val="18"/>
          <w:szCs w:val="18"/>
        </w:rPr>
      </w:pPr>
      <w:r>
        <w:rPr>
          <w:rFonts w:cs="Times New Roman"/>
          <w:b/>
          <w:bCs/>
          <w:sz w:val="18"/>
          <w:szCs w:val="18"/>
        </w:rPr>
        <w:t xml:space="preserve">January </w:t>
      </w:r>
      <w:r w:rsidR="009172AD" w:rsidRPr="001E4AA8">
        <w:rPr>
          <w:rFonts w:cs="Times New Roman"/>
          <w:b/>
          <w:bCs/>
          <w:sz w:val="18"/>
          <w:szCs w:val="18"/>
        </w:rPr>
        <w:t>19</w:t>
      </w:r>
      <w:r w:rsidR="005F171E" w:rsidRPr="001E4AA8">
        <w:rPr>
          <w:rFonts w:cs="Times New Roman"/>
          <w:b/>
          <w:bCs/>
          <w:sz w:val="18"/>
          <w:szCs w:val="18"/>
        </w:rPr>
        <w:t>2</w:t>
      </w:r>
      <w:r w:rsidR="00362157">
        <w:rPr>
          <w:rFonts w:cs="Times New Roman"/>
          <w:b/>
          <w:bCs/>
          <w:sz w:val="18"/>
          <w:szCs w:val="18"/>
        </w:rPr>
        <w:t>6</w:t>
      </w:r>
      <w:r w:rsidR="005F171E" w:rsidRPr="001E4AA8">
        <w:rPr>
          <w:rFonts w:cs="Times New Roman"/>
          <w:b/>
          <w:bCs/>
          <w:sz w:val="18"/>
          <w:szCs w:val="18"/>
        </w:rPr>
        <w:t>–</w:t>
      </w:r>
      <w:r>
        <w:rPr>
          <w:rFonts w:cs="Times New Roman"/>
          <w:b/>
          <w:bCs/>
          <w:sz w:val="18"/>
          <w:szCs w:val="18"/>
        </w:rPr>
        <w:t xml:space="preserve">December </w:t>
      </w:r>
      <w:r w:rsidR="005F171E" w:rsidRPr="001E4AA8">
        <w:rPr>
          <w:rFonts w:cs="Times New Roman"/>
          <w:b/>
          <w:bCs/>
          <w:sz w:val="18"/>
          <w:szCs w:val="18"/>
        </w:rPr>
        <w:t>20</w:t>
      </w:r>
      <w:r w:rsidR="00DA0B97" w:rsidRPr="001E4AA8">
        <w:rPr>
          <w:rFonts w:cs="Times New Roman"/>
          <w:b/>
          <w:bCs/>
          <w:sz w:val="18"/>
          <w:szCs w:val="18"/>
        </w:rPr>
        <w:t>1</w:t>
      </w:r>
      <w:r w:rsidR="00132B81">
        <w:rPr>
          <w:rFonts w:cs="Times New Roman"/>
          <w:b/>
          <w:bCs/>
          <w:sz w:val="18"/>
          <w:szCs w:val="18"/>
        </w:rPr>
        <w:t>9</w:t>
      </w:r>
    </w:p>
    <w:p w14:paraId="1A3D36DD" w14:textId="77777777" w:rsidR="009172AD" w:rsidRPr="00220F9C" w:rsidRDefault="009172AD">
      <w:pPr>
        <w:jc w:val="center"/>
        <w:rPr>
          <w:rFonts w:cs="Times New Roman"/>
          <w:sz w:val="8"/>
          <w:szCs w:val="8"/>
        </w:rPr>
      </w:pPr>
    </w:p>
    <w:p w14:paraId="5E210DBB" w14:textId="77777777" w:rsidR="00394F28" w:rsidRPr="00851791" w:rsidRDefault="00394F28" w:rsidP="009172AD">
      <w:pPr>
        <w:ind w:left="180"/>
        <w:jc w:val="center"/>
        <w:rPr>
          <w:sz w:val="8"/>
          <w:szCs w:val="8"/>
        </w:rPr>
      </w:pPr>
    </w:p>
    <w:p w14:paraId="692012B2" w14:textId="77777777" w:rsidR="00132B81" w:rsidRDefault="00132B81" w:rsidP="00132B81">
      <w:pPr>
        <w:jc w:val="center"/>
        <w:rPr>
          <w:noProof/>
        </w:rPr>
      </w:pPr>
      <w:r w:rsidRPr="00574506">
        <w:rPr>
          <w:noProof/>
        </w:rPr>
        <w:pict w14:anchorId="61ACE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34" type="#_x0000_t75" style="width:408.6pt;height:262.2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">
            <v:imagedata r:id="rId11" o:title=""/>
            <o:lock v:ext="edit" aspectratio="f"/>
          </v:shape>
        </w:pict>
      </w:r>
    </w:p>
    <w:p w14:paraId="019A9432" w14:textId="44522602" w:rsidR="00132B81" w:rsidRPr="00132B81" w:rsidRDefault="00132B81" w:rsidP="00132B81">
      <w:pPr>
        <w:jc w:val="center"/>
        <w:rPr>
          <w:noProof/>
          <w:szCs w:val="20"/>
        </w:rPr>
      </w:pPr>
      <w:r>
        <w:rPr>
          <w:noProof/>
        </w:rPr>
        <w:pict w14:anchorId="5A0C2A46">
          <v:shapetype id="_x0000_t202" coordsize="21600,21600" o:spt="202" path="m,l,21600r21600,l21600,xe">
            <v:stroke joinstyle="miter"/>
            <v:path gradientshapeok="t" o:connecttype="rect"/>
          </v:shapetype>
          <v:shape id="_x0000_s1046" type="#_x0000_t202" style="position:absolute;left:0;text-align:left;margin-left:67.05pt;margin-top:3.2pt;width:346.5pt;height:19.45pt;z-index:2;mso-wrap-style:none;mso-position-horizontal-relative:text;mso-position-vertical-relative:text">
            <v:textbox style="mso-fit-shape-to-text:t">
              <w:txbxContent>
                <w:p w14:paraId="1FBEAA94" w14:textId="77777777" w:rsidR="00077EC5" w:rsidRPr="00FF55B7" w:rsidRDefault="00077EC5" w:rsidP="00077EC5">
                  <w:pPr>
                    <w:rPr>
                      <w:color w:val="000000"/>
                      <w:szCs w:val="20"/>
                    </w:rPr>
                  </w:pPr>
                  <w:r w:rsidRPr="00132B81">
                    <w:rPr>
                      <w:color w:val="000000"/>
                      <w:szCs w:val="20"/>
                    </w:rPr>
                    <w:t xml:space="preserve">     </w:t>
                  </w:r>
                  <w:r>
                    <w:rPr>
                      <w:color w:val="000000"/>
                      <w:szCs w:val="20"/>
                    </w:rPr>
                    <w:t xml:space="preserve">  </w:t>
                  </w:r>
                  <w:r w:rsidRPr="00132B81">
                    <w:rPr>
                      <w:color w:val="000000"/>
                      <w:szCs w:val="20"/>
                    </w:rPr>
                    <w:t xml:space="preserve">    1 Year</w:t>
                  </w:r>
                  <w:r w:rsidRPr="00132B81">
                    <w:rPr>
                      <w:color w:val="000000"/>
                      <w:szCs w:val="20"/>
                    </w:rPr>
                    <w:tab/>
                  </w:r>
                  <w:r w:rsidRPr="00132B81">
                    <w:rPr>
                      <w:color w:val="000000"/>
                      <w:szCs w:val="20"/>
                    </w:rPr>
                    <w:tab/>
                  </w:r>
                  <w:r>
                    <w:rPr>
                      <w:color w:val="000000"/>
                      <w:szCs w:val="20"/>
                    </w:rPr>
                    <w:t xml:space="preserve">  </w:t>
                  </w:r>
                  <w:r w:rsidRPr="00132B81">
                    <w:rPr>
                      <w:color w:val="000000"/>
                      <w:szCs w:val="20"/>
                    </w:rPr>
                    <w:t>5 Years</w:t>
                  </w:r>
                  <w:r w:rsidRPr="00132B81">
                    <w:rPr>
                      <w:color w:val="000000"/>
                      <w:szCs w:val="20"/>
                    </w:rPr>
                    <w:tab/>
                  </w:r>
                  <w:r w:rsidRPr="00132B81">
                    <w:rPr>
                      <w:color w:val="000000"/>
                      <w:szCs w:val="20"/>
                    </w:rPr>
                    <w:tab/>
                  </w:r>
                  <w:r>
                    <w:rPr>
                      <w:color w:val="000000"/>
                      <w:szCs w:val="20"/>
                    </w:rPr>
                    <w:t xml:space="preserve">         </w:t>
                  </w:r>
                  <w:r w:rsidRPr="00132B81">
                    <w:rPr>
                      <w:color w:val="000000"/>
                      <w:szCs w:val="20"/>
                    </w:rPr>
                    <w:t>10 Years</w:t>
                  </w:r>
                  <w:r w:rsidRPr="00132B81">
                    <w:rPr>
                      <w:color w:val="000000"/>
                      <w:szCs w:val="20"/>
                    </w:rPr>
                    <w:tab/>
                  </w:r>
                  <w:r w:rsidRPr="00132B81">
                    <w:rPr>
                      <w:color w:val="000000"/>
                      <w:szCs w:val="20"/>
                    </w:rPr>
                    <w:tab/>
                  </w:r>
                  <w:r>
                    <w:rPr>
                      <w:color w:val="000000"/>
                      <w:szCs w:val="20"/>
                    </w:rPr>
                    <w:t xml:space="preserve">   </w:t>
                  </w:r>
                  <w:r w:rsidRPr="00132B81">
                    <w:rPr>
                      <w:color w:val="000000"/>
                      <w:szCs w:val="20"/>
                    </w:rPr>
                    <w:t>20 Years</w:t>
                  </w:r>
                </w:p>
              </w:txbxContent>
            </v:textbox>
            <w10:wrap type="square"/>
          </v:shape>
        </w:pict>
      </w:r>
    </w:p>
    <w:p w14:paraId="3DB40E24" w14:textId="3086F42D" w:rsidR="00132B81" w:rsidRPr="00132B81" w:rsidRDefault="00132B81" w:rsidP="00132B81">
      <w:pPr>
        <w:rPr>
          <w:color w:val="000000"/>
          <w:szCs w:val="20"/>
        </w:rPr>
      </w:pPr>
      <w:r w:rsidRPr="00132B81">
        <w:rPr>
          <w:color w:val="000000"/>
          <w:szCs w:val="20"/>
        </w:rPr>
        <w:tab/>
      </w:r>
      <w:r w:rsidRPr="00132B81">
        <w:rPr>
          <w:color w:val="000000"/>
          <w:szCs w:val="20"/>
        </w:rPr>
        <w:tab/>
      </w:r>
    </w:p>
    <w:p w14:paraId="77CF478B" w14:textId="77777777" w:rsidR="00132B81" w:rsidRDefault="00132B81" w:rsidP="00132B81">
      <w:pPr>
        <w:rPr>
          <w:color w:val="000000"/>
          <w:sz w:val="18"/>
          <w:szCs w:val="18"/>
        </w:rPr>
      </w:pPr>
    </w:p>
    <w:p w14:paraId="14459A38" w14:textId="65F8925C" w:rsidR="00BE07D7" w:rsidRPr="004E6969" w:rsidRDefault="00BE07D7" w:rsidP="00132B81">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4D3A2458" w14:textId="1E88F564" w:rsidR="009172AD" w:rsidRDefault="009172AD">
      <w:pPr>
        <w:rPr>
          <w:rFonts w:cs="Times New Roman"/>
          <w:szCs w:val="20"/>
        </w:rPr>
      </w:pPr>
    </w:p>
    <w:p w14:paraId="073ACEEE" w14:textId="77777777" w:rsidR="00132B81" w:rsidRDefault="00132B81">
      <w:pPr>
        <w:rPr>
          <w:rFonts w:cs="Times New Roman"/>
          <w:szCs w:val="20"/>
        </w:rPr>
      </w:pPr>
    </w:p>
    <w:p w14:paraId="4A91212E" w14:textId="77777777" w:rsidR="009172AD" w:rsidRPr="00AC2FE5" w:rsidRDefault="009172AD">
      <w:pPr>
        <w:rPr>
          <w:rFonts w:cs="Times New Roman"/>
          <w:szCs w:val="20"/>
        </w:rPr>
      </w:pPr>
      <w:r w:rsidRPr="001E4AA8">
        <w:rPr>
          <w:rFonts w:cs="Times New Roman"/>
          <w:szCs w:val="20"/>
        </w:rPr>
        <w:t>As much as time can reduce your risk, many investors looking at this chart would still feel that the stock market by itself is too risky. In designing your portfolio, we will make use of asset allocation beyond just</w:t>
      </w:r>
      <w:r w:rsidRPr="00AC2FE5">
        <w:rPr>
          <w:rFonts w:cs="Times New Roman"/>
          <w:szCs w:val="20"/>
        </w:rPr>
        <w:t xml:space="preserve"> one asset class, U.S. large capitalized stocks, in order to further reduce risk.</w:t>
      </w:r>
    </w:p>
    <w:p w14:paraId="3CB2BA0D" w14:textId="77777777" w:rsidR="009172AD" w:rsidRPr="00AC2FE5" w:rsidRDefault="009172AD">
      <w:pPr>
        <w:rPr>
          <w:rFonts w:cs="Times New Roman"/>
          <w:szCs w:val="20"/>
        </w:rPr>
      </w:pPr>
    </w:p>
    <w:p w14:paraId="2F98647B" w14:textId="77777777" w:rsidR="009172AD" w:rsidRDefault="009172AD">
      <w:pPr>
        <w:rPr>
          <w:rFonts w:cs="Times New Roman"/>
          <w:szCs w:val="20"/>
        </w:rPr>
      </w:pPr>
      <w:r w:rsidRPr="00AC2FE5">
        <w:rPr>
          <w:rFonts w:cs="Times New Roman"/>
          <w:szCs w:val="20"/>
        </w:rPr>
        <w:t>However, it</w:t>
      </w:r>
      <w:r w:rsidR="00232C8D">
        <w:rPr>
          <w:rFonts w:cs="Times New Roman"/>
          <w:szCs w:val="20"/>
        </w:rPr>
        <w:t>’</w:t>
      </w:r>
      <w:r w:rsidRPr="00AC2FE5">
        <w:rPr>
          <w:rFonts w:cs="Times New Roman"/>
          <w:szCs w:val="20"/>
        </w:rPr>
        <w:t>s important for you to have a long-term perspective with any equity portfolio. The minimum expected investment period should be five years for any portfolio containing equity securities. For any portfolio with less than a five-year horizon, the portfolio should be comprised predominantly of fixed-rate investments. This five-year minimum investment period is important in that the investment process must be viewed as part of a long-term plan for achieving the desired results. This is because one-year volatility can be significant for certain asset classes. However, over a five-year period, volatility is greatly reduced.</w:t>
      </w:r>
      <w:r w:rsidR="005A72F9">
        <w:rPr>
          <w:rFonts w:cs="Times New Roman"/>
          <w:szCs w:val="20"/>
        </w:rPr>
        <w:t xml:space="preserve"> </w:t>
      </w:r>
      <w:r w:rsidRPr="00AC2FE5">
        <w:rPr>
          <w:rFonts w:cs="Times New Roman"/>
          <w:szCs w:val="20"/>
        </w:rPr>
        <w:t xml:space="preserve">A time horizon of ten years or longer will serve to increase the likelihood of achieving your financial goals even more. </w:t>
      </w:r>
    </w:p>
    <w:p w14:paraId="0453A1C6" w14:textId="77777777" w:rsidR="009172AD" w:rsidRPr="00AC2FE5" w:rsidRDefault="009172AD" w:rsidP="009172AD">
      <w:pPr>
        <w:pStyle w:val="Heading3"/>
      </w:pPr>
      <w:r w:rsidRPr="00AC2FE5">
        <w:t xml:space="preserve">Your Attitudes Toward Risk </w:t>
      </w:r>
    </w:p>
    <w:p w14:paraId="1771C94D" w14:textId="77777777" w:rsidR="009172AD" w:rsidRPr="00AC2FE5" w:rsidRDefault="009172AD">
      <w:pPr>
        <w:rPr>
          <w:rFonts w:cs="Times New Roman"/>
          <w:szCs w:val="20"/>
        </w:rPr>
      </w:pPr>
    </w:p>
    <w:p w14:paraId="0344546F" w14:textId="77777777" w:rsidR="009172AD" w:rsidRDefault="009172AD">
      <w:pPr>
        <w:rPr>
          <w:rFonts w:cs="Times New Roman"/>
          <w:szCs w:val="20"/>
        </w:rPr>
      </w:pPr>
      <w:r w:rsidRPr="00AC2FE5">
        <w:rPr>
          <w:rFonts w:cs="Times New Roman"/>
          <w:szCs w:val="20"/>
        </w:rPr>
        <w:t xml:space="preserve">While we can do a great deal to mitigate risk, we cannot eliminate it. In any investment plan, it is important to understand both the types and the amount of risk you are taking and to be sure that you are comfortable with these. This understanding will greatly increase your ability to adhere to your long-term investment plan and increase your chances of achieving your financial goals. </w:t>
      </w:r>
    </w:p>
    <w:p w14:paraId="6F67E869" w14:textId="77777777" w:rsidR="009172AD" w:rsidRPr="00AC2FE5" w:rsidRDefault="009172AD">
      <w:pPr>
        <w:rPr>
          <w:rFonts w:cs="Times New Roman"/>
          <w:szCs w:val="20"/>
        </w:rPr>
      </w:pPr>
    </w:p>
    <w:p w14:paraId="004BE5EF" w14:textId="77777777" w:rsidR="009172AD" w:rsidRPr="00AC2FE5" w:rsidRDefault="009172AD">
      <w:pPr>
        <w:rPr>
          <w:rFonts w:cs="Times New Roman"/>
          <w:szCs w:val="20"/>
        </w:rPr>
      </w:pPr>
      <w:r w:rsidRPr="00AC2FE5">
        <w:rPr>
          <w:rFonts w:cs="Times New Roman"/>
          <w:szCs w:val="20"/>
        </w:rPr>
        <w:t>The right level of risk for you depends on both your personal preferences and your situation. We break the risk equation into the following four parts:</w:t>
      </w:r>
    </w:p>
    <w:p w14:paraId="7AC0A783" w14:textId="77777777" w:rsidR="009172AD" w:rsidRPr="00AC2FE5" w:rsidRDefault="009172AD">
      <w:pPr>
        <w:rPr>
          <w:rFonts w:cs="Times New Roman"/>
          <w:szCs w:val="20"/>
        </w:rPr>
      </w:pPr>
    </w:p>
    <w:p w14:paraId="4BE73471" w14:textId="77777777" w:rsidR="009172AD" w:rsidRPr="00AC2FE5" w:rsidRDefault="009172AD">
      <w:pPr>
        <w:rPr>
          <w:rFonts w:cs="Times New Roman"/>
          <w:szCs w:val="20"/>
          <w:u w:val="single"/>
        </w:rPr>
      </w:pPr>
      <w:r w:rsidRPr="00AC2FE5">
        <w:rPr>
          <w:rFonts w:cs="Times New Roman"/>
          <w:szCs w:val="20"/>
          <w:u w:val="single"/>
        </w:rPr>
        <w:t>1. Risk Tolerance: Your Response to Market Fluctuations</w:t>
      </w:r>
    </w:p>
    <w:p w14:paraId="7FD3B1D5" w14:textId="77777777" w:rsidR="009172AD" w:rsidRPr="00AC2FE5" w:rsidRDefault="009172AD">
      <w:pPr>
        <w:rPr>
          <w:rFonts w:cs="Times New Roman"/>
          <w:szCs w:val="20"/>
        </w:rPr>
      </w:pPr>
    </w:p>
    <w:p w14:paraId="775A2FF6" w14:textId="77777777" w:rsidR="009172AD" w:rsidRPr="00AC2FE5" w:rsidRDefault="009172AD">
      <w:pPr>
        <w:rPr>
          <w:rFonts w:cs="Times New Roman"/>
          <w:szCs w:val="20"/>
        </w:rPr>
      </w:pPr>
      <w:r w:rsidRPr="00AC2FE5">
        <w:rPr>
          <w:rFonts w:cs="Times New Roman"/>
          <w:szCs w:val="20"/>
        </w:rPr>
        <w:t>Over the course of your investment life, the value of your portfolio will rise and fall.</w:t>
      </w:r>
      <w:r w:rsidR="00E33209">
        <w:rPr>
          <w:rFonts w:cs="Times New Roman"/>
          <w:szCs w:val="20"/>
        </w:rPr>
        <w:t xml:space="preserve"> </w:t>
      </w:r>
      <w:r w:rsidRPr="00AC2FE5">
        <w:rPr>
          <w:rFonts w:cs="Times New Roman"/>
          <w:szCs w:val="20"/>
        </w:rPr>
        <w:t xml:space="preserve">While we would always rather see our portfolio value rise, a prudent investor knows that any investment will have some periods in which the value will fall. Equity markets, in particular, are very volatile and investors must expect that there will be regular periods of rising prices and regular periods of falling prices. </w:t>
      </w:r>
    </w:p>
    <w:p w14:paraId="59EEECAC" w14:textId="77777777" w:rsidR="009172AD" w:rsidRPr="00AC2FE5" w:rsidRDefault="009172AD">
      <w:pPr>
        <w:rPr>
          <w:rFonts w:cs="Times New Roman"/>
          <w:szCs w:val="20"/>
        </w:rPr>
      </w:pPr>
    </w:p>
    <w:p w14:paraId="3DFA6983" w14:textId="77777777" w:rsidR="009172AD" w:rsidRPr="00AC2FE5" w:rsidRDefault="009172AD">
      <w:pPr>
        <w:rPr>
          <w:rFonts w:cs="Times New Roman"/>
          <w:szCs w:val="20"/>
        </w:rPr>
      </w:pPr>
      <w:r w:rsidRPr="00AC2FE5">
        <w:rPr>
          <w:rFonts w:cs="Times New Roman"/>
          <w:szCs w:val="20"/>
        </w:rPr>
        <w:t>Your risk tolerance describes your level of comfort in waiting through the downturns.</w:t>
      </w:r>
      <w:r w:rsidR="005A72F9">
        <w:rPr>
          <w:rFonts w:cs="Times New Roman"/>
          <w:szCs w:val="20"/>
        </w:rPr>
        <w:t xml:space="preserve"> </w:t>
      </w:r>
      <w:r w:rsidRPr="00AC2FE5">
        <w:rPr>
          <w:rFonts w:cs="Times New Roman"/>
          <w:szCs w:val="20"/>
        </w:rPr>
        <w:t xml:space="preserve">If the risk you take is within your risk tolerance, then you will be able to maintain your investment strategy through both strong markets and weak ones, giving you the best chance of investment success. </w:t>
      </w:r>
    </w:p>
    <w:p w14:paraId="4AAE9710" w14:textId="77777777" w:rsidR="009172AD" w:rsidRPr="00AC2FE5" w:rsidRDefault="009172AD">
      <w:pPr>
        <w:rPr>
          <w:rFonts w:cs="Times New Roman"/>
          <w:szCs w:val="20"/>
        </w:rPr>
      </w:pPr>
    </w:p>
    <w:p w14:paraId="26E61DCD" w14:textId="77777777" w:rsidR="009172AD" w:rsidRPr="00AC2FE5" w:rsidRDefault="009172AD">
      <w:pPr>
        <w:rPr>
          <w:rFonts w:cs="Times New Roman"/>
          <w:szCs w:val="20"/>
          <w:u w:val="single"/>
        </w:rPr>
      </w:pPr>
      <w:r w:rsidRPr="00AC2FE5">
        <w:rPr>
          <w:rFonts w:cs="Times New Roman"/>
          <w:szCs w:val="20"/>
          <w:u w:val="single"/>
        </w:rPr>
        <w:t>2. Risk Aversion: Your Vulnerability to Losses</w:t>
      </w:r>
    </w:p>
    <w:p w14:paraId="651204E8" w14:textId="77777777" w:rsidR="009172AD" w:rsidRPr="00AC2FE5" w:rsidRDefault="009172AD">
      <w:pPr>
        <w:rPr>
          <w:rFonts w:cs="Times New Roman"/>
          <w:szCs w:val="20"/>
        </w:rPr>
      </w:pPr>
    </w:p>
    <w:p w14:paraId="7F532466" w14:textId="77777777" w:rsidR="009172AD" w:rsidRPr="00AC2FE5" w:rsidRDefault="009172AD">
      <w:pPr>
        <w:rPr>
          <w:rFonts w:cs="Times New Roman"/>
          <w:szCs w:val="20"/>
        </w:rPr>
      </w:pPr>
      <w:r w:rsidRPr="00AC2FE5">
        <w:rPr>
          <w:rFonts w:cs="Times New Roman"/>
          <w:szCs w:val="20"/>
        </w:rPr>
        <w:t>Designing an appropriate investment strategy requires understanding and weighing factors that can be in conflict.</w:t>
      </w:r>
      <w:r w:rsidR="0021654A">
        <w:rPr>
          <w:rFonts w:cs="Times New Roman"/>
          <w:szCs w:val="20"/>
        </w:rPr>
        <w:t xml:space="preserve"> </w:t>
      </w:r>
      <w:r w:rsidRPr="00AC2FE5">
        <w:rPr>
          <w:rFonts w:cs="Times New Roman"/>
          <w:szCs w:val="20"/>
        </w:rPr>
        <w:t>Your tolerance for risk may be high, but as a prudent investor, you should consider your ability to withstand financial losses. Because market downturns are unpredictable, you need to assess the real economic harm you might face if your portfolio seriously declined in value.</w:t>
      </w:r>
      <w:r w:rsidR="0021654A">
        <w:rPr>
          <w:rFonts w:cs="Times New Roman"/>
          <w:szCs w:val="20"/>
        </w:rPr>
        <w:t xml:space="preserve"> </w:t>
      </w:r>
      <w:r w:rsidRPr="00AC2FE5">
        <w:rPr>
          <w:rFonts w:cs="Times New Roman"/>
          <w:szCs w:val="20"/>
        </w:rPr>
        <w:t xml:space="preserve">If your portfolio failed to provide the returns you had planned for, would you need to adjust your goals? </w:t>
      </w:r>
    </w:p>
    <w:p w14:paraId="33A86161" w14:textId="77777777" w:rsidR="00362157" w:rsidRDefault="00362157">
      <w:pPr>
        <w:rPr>
          <w:rFonts w:cs="Times New Roman"/>
          <w:szCs w:val="20"/>
          <w:u w:val="single"/>
        </w:rPr>
      </w:pPr>
    </w:p>
    <w:p w14:paraId="5DAC97AF" w14:textId="77777777" w:rsidR="009172AD" w:rsidRPr="00911E31" w:rsidRDefault="009172AD">
      <w:pPr>
        <w:rPr>
          <w:rFonts w:cs="Times New Roman"/>
          <w:szCs w:val="20"/>
          <w:u w:val="single"/>
        </w:rPr>
      </w:pPr>
      <w:r w:rsidRPr="00AC2FE5">
        <w:rPr>
          <w:rFonts w:cs="Times New Roman"/>
          <w:szCs w:val="20"/>
          <w:u w:val="single"/>
        </w:rPr>
        <w:t xml:space="preserve">3. Risk Avoidance: Your Need to Take Risk </w:t>
      </w:r>
    </w:p>
    <w:p w14:paraId="4143FF6C" w14:textId="77777777" w:rsidR="009172AD" w:rsidRPr="00AC2FE5" w:rsidRDefault="009172AD">
      <w:pPr>
        <w:rPr>
          <w:rFonts w:cs="Times New Roman"/>
          <w:szCs w:val="20"/>
        </w:rPr>
      </w:pPr>
    </w:p>
    <w:p w14:paraId="68AAACD2" w14:textId="77777777" w:rsidR="009172AD" w:rsidRPr="00AC2FE5" w:rsidRDefault="009172AD">
      <w:pPr>
        <w:rPr>
          <w:rFonts w:cs="Times New Roman"/>
          <w:szCs w:val="20"/>
        </w:rPr>
      </w:pPr>
      <w:r w:rsidRPr="00AC2FE5">
        <w:rPr>
          <w:rFonts w:cs="Times New Roman"/>
          <w:szCs w:val="20"/>
        </w:rPr>
        <w:t>Most investors would not choose to take more risk than is necessary. While this is a simple statement, investors often fail to build this concept into their investment planning.</w:t>
      </w:r>
      <w:r w:rsidR="0021654A">
        <w:rPr>
          <w:rFonts w:cs="Times New Roman"/>
          <w:szCs w:val="20"/>
        </w:rPr>
        <w:t xml:space="preserve"> </w:t>
      </w:r>
      <w:r w:rsidRPr="00AC2FE5">
        <w:rPr>
          <w:rFonts w:cs="Times New Roman"/>
          <w:szCs w:val="20"/>
        </w:rPr>
        <w:t xml:space="preserve">Your need to take risk is directly tied to your rate-of-return objective. </w:t>
      </w:r>
    </w:p>
    <w:p w14:paraId="76B4E547" w14:textId="77777777" w:rsidR="009172AD" w:rsidRPr="00AC2FE5" w:rsidRDefault="009172AD">
      <w:pPr>
        <w:rPr>
          <w:rFonts w:cs="Times New Roman"/>
          <w:szCs w:val="20"/>
        </w:rPr>
      </w:pPr>
    </w:p>
    <w:p w14:paraId="14CCD1B4" w14:textId="77777777" w:rsidR="009172AD" w:rsidRPr="00AC2FE5" w:rsidRDefault="009172AD">
      <w:pPr>
        <w:rPr>
          <w:rFonts w:cs="Times New Roman"/>
          <w:szCs w:val="20"/>
        </w:rPr>
      </w:pPr>
      <w:r w:rsidRPr="00AC2FE5">
        <w:rPr>
          <w:rFonts w:cs="Times New Roman"/>
          <w:szCs w:val="20"/>
        </w:rPr>
        <w:t>If you need your portfolio to grow more quickly over your time horizon, you will want a higher rate of return.</w:t>
      </w:r>
      <w:r w:rsidR="0021654A">
        <w:rPr>
          <w:rFonts w:cs="Times New Roman"/>
          <w:szCs w:val="20"/>
        </w:rPr>
        <w:t xml:space="preserve"> </w:t>
      </w:r>
      <w:r w:rsidRPr="00AC2FE5">
        <w:rPr>
          <w:rFonts w:cs="Times New Roman"/>
          <w:szCs w:val="20"/>
        </w:rPr>
        <w:t>An increase in your rate-of-return objective, however, will generally mean taking more risk. If your return objective is higher than your risk tolerance (willingness to take risk) or your risk aversion (your vulnerability to losses), then you must adjust one or more of these parameters.</w:t>
      </w:r>
      <w:r w:rsidR="0021654A">
        <w:rPr>
          <w:rFonts w:cs="Times New Roman"/>
          <w:szCs w:val="20"/>
        </w:rPr>
        <w:t xml:space="preserve"> </w:t>
      </w:r>
      <w:r w:rsidRPr="00AC2FE5">
        <w:rPr>
          <w:rFonts w:cs="Times New Roman"/>
          <w:szCs w:val="20"/>
        </w:rPr>
        <w:t>This could mean, for example, retiring later and possibly subjecting yourself to the discomfort of greater risk or increasing your savings.</w:t>
      </w:r>
    </w:p>
    <w:p w14:paraId="10959214" w14:textId="77777777" w:rsidR="009172AD" w:rsidRPr="00AC2FE5" w:rsidRDefault="009172AD">
      <w:pPr>
        <w:rPr>
          <w:rFonts w:cs="Times New Roman"/>
          <w:szCs w:val="20"/>
        </w:rPr>
      </w:pPr>
    </w:p>
    <w:p w14:paraId="5511B8C5" w14:textId="77777777" w:rsidR="009172AD" w:rsidRPr="00AC2FE5" w:rsidRDefault="009172AD">
      <w:pPr>
        <w:rPr>
          <w:rFonts w:cs="Times New Roman"/>
          <w:szCs w:val="20"/>
        </w:rPr>
      </w:pPr>
      <w:r w:rsidRPr="00AC2FE5">
        <w:rPr>
          <w:rFonts w:cs="Times New Roman"/>
          <w:szCs w:val="20"/>
        </w:rPr>
        <w:t>On the other hand, if your rate-of-return objective can be lowered because your assets can support your goals with less growth, then your need to take risk is reduced and your portfolio should be allocated accordingly.</w:t>
      </w:r>
      <w:r w:rsidR="0021654A">
        <w:rPr>
          <w:rFonts w:cs="Times New Roman"/>
          <w:szCs w:val="20"/>
        </w:rPr>
        <w:t xml:space="preserve"> </w:t>
      </w:r>
      <w:r w:rsidRPr="00AC2FE5">
        <w:rPr>
          <w:rFonts w:cs="Times New Roman"/>
          <w:szCs w:val="20"/>
        </w:rPr>
        <w:t>As your portfolio grows over time, your need to take risk should be reassessed and your investment strategy adjusted accordingly.</w:t>
      </w:r>
    </w:p>
    <w:p w14:paraId="23EA3D8D" w14:textId="77777777" w:rsidR="009172AD" w:rsidRPr="00AC2FE5" w:rsidRDefault="009172AD">
      <w:pPr>
        <w:rPr>
          <w:rFonts w:cs="Times New Roman"/>
          <w:szCs w:val="20"/>
        </w:rPr>
      </w:pPr>
    </w:p>
    <w:p w14:paraId="6C4817D9" w14:textId="77777777" w:rsidR="009172AD" w:rsidRPr="00AC2FE5" w:rsidRDefault="009172AD">
      <w:pPr>
        <w:rPr>
          <w:rFonts w:cs="Times New Roman"/>
          <w:szCs w:val="20"/>
          <w:u w:val="single"/>
        </w:rPr>
      </w:pPr>
      <w:r w:rsidRPr="00AC2FE5">
        <w:rPr>
          <w:rFonts w:cs="Times New Roman"/>
          <w:szCs w:val="20"/>
          <w:u w:val="single"/>
        </w:rPr>
        <w:t xml:space="preserve">4. Your Tolerance for Tracking Error: Your Ability to Have Your Portfolio Look Different from Popular </w:t>
      </w:r>
      <w:r>
        <w:rPr>
          <w:rFonts w:cs="Times New Roman"/>
          <w:szCs w:val="20"/>
          <w:u w:val="single"/>
        </w:rPr>
        <w:t>I</w:t>
      </w:r>
      <w:r w:rsidRPr="00AC2FE5">
        <w:rPr>
          <w:rFonts w:cs="Times New Roman"/>
          <w:szCs w:val="20"/>
          <w:u w:val="single"/>
        </w:rPr>
        <w:t xml:space="preserve">ndices </w:t>
      </w:r>
    </w:p>
    <w:p w14:paraId="24C7C091" w14:textId="77777777" w:rsidR="009172AD" w:rsidRPr="00AC2FE5" w:rsidRDefault="009172AD">
      <w:pPr>
        <w:rPr>
          <w:rFonts w:cs="Times New Roman"/>
          <w:szCs w:val="20"/>
        </w:rPr>
      </w:pPr>
    </w:p>
    <w:p w14:paraId="1E334156" w14:textId="77777777" w:rsidR="009172AD" w:rsidRPr="00AC2FE5" w:rsidRDefault="009172AD">
      <w:pPr>
        <w:rPr>
          <w:rFonts w:cs="Times New Roman"/>
          <w:szCs w:val="20"/>
        </w:rPr>
      </w:pPr>
      <w:r w:rsidRPr="00AC2FE5">
        <w:rPr>
          <w:rFonts w:cs="Times New Roman"/>
          <w:szCs w:val="20"/>
        </w:rPr>
        <w:t>Many investors are more comfortable when they know they are doing as well, or as poorly, as most other investors.</w:t>
      </w:r>
      <w:r w:rsidR="0021654A">
        <w:rPr>
          <w:rFonts w:cs="Times New Roman"/>
          <w:szCs w:val="20"/>
        </w:rPr>
        <w:t xml:space="preserve"> </w:t>
      </w:r>
      <w:r w:rsidRPr="00AC2FE5">
        <w:rPr>
          <w:rFonts w:cs="Times New Roman"/>
          <w:szCs w:val="20"/>
        </w:rPr>
        <w:t xml:space="preserve">A portfolio that tracks the returns of a popular index such as the S&amp;P 500 can provide that comfort, despite the fact that it may not provide the risk management or higher returns that may be available from an effectively diversified portfolio. </w:t>
      </w:r>
    </w:p>
    <w:p w14:paraId="2F5E3EBC" w14:textId="77777777" w:rsidR="009172AD" w:rsidRPr="00AC2FE5" w:rsidRDefault="009172AD">
      <w:pPr>
        <w:rPr>
          <w:rFonts w:cs="Times New Roman"/>
          <w:szCs w:val="20"/>
        </w:rPr>
      </w:pPr>
    </w:p>
    <w:p w14:paraId="4D997881" w14:textId="77777777" w:rsidR="009172AD" w:rsidRPr="00AC2FE5" w:rsidRDefault="009172AD">
      <w:pPr>
        <w:rPr>
          <w:rFonts w:cs="Times New Roman"/>
          <w:szCs w:val="20"/>
        </w:rPr>
      </w:pPr>
      <w:r w:rsidRPr="00AC2FE5">
        <w:rPr>
          <w:rFonts w:cs="Times New Roman"/>
          <w:i/>
          <w:iCs/>
          <w:szCs w:val="20"/>
        </w:rPr>
        <w:t>Tracking error</w:t>
      </w:r>
      <w:r w:rsidRPr="00AC2FE5">
        <w:rPr>
          <w:rFonts w:cs="Times New Roman"/>
          <w:szCs w:val="20"/>
        </w:rPr>
        <w:t xml:space="preserve"> is the amount by which the performance of a portfolio differs from that of major market indices. You should understand your personal tolerance for the tracking error that can result from a portfolio that purposely diversifies away from popular indices in order to decrease volatility and increase expected returns. </w:t>
      </w:r>
    </w:p>
    <w:p w14:paraId="13B0CE46" w14:textId="77777777" w:rsidR="009172AD" w:rsidRPr="00AC2FE5" w:rsidRDefault="009172AD">
      <w:pPr>
        <w:rPr>
          <w:rFonts w:cs="Times New Roman"/>
          <w:szCs w:val="20"/>
        </w:rPr>
      </w:pPr>
    </w:p>
    <w:p w14:paraId="00E60C01" w14:textId="77777777" w:rsidR="009172AD" w:rsidRDefault="009172AD">
      <w:pPr>
        <w:rPr>
          <w:rFonts w:cs="Times New Roman"/>
          <w:szCs w:val="20"/>
        </w:rPr>
      </w:pPr>
      <w:r w:rsidRPr="00AC2FE5">
        <w:rPr>
          <w:rFonts w:cs="Times New Roman"/>
          <w:szCs w:val="20"/>
        </w:rPr>
        <w:t xml:space="preserve">Bear in mind that tracking error can be present over lengthy periods. If, for example, your portfolio is weighted heavily toward value asset classes because of the expected higher return over time, it will often look quite different from the S&amp;P 500 index, which is composed primarily of growth stocks. The difference can be either positive or negative, and may be present over many years. </w:t>
      </w:r>
    </w:p>
    <w:p w14:paraId="14673B29" w14:textId="6705A521" w:rsidR="001B7D01" w:rsidRDefault="001B7D01">
      <w:pPr>
        <w:rPr>
          <w:rFonts w:cs="Times New Roman"/>
          <w:szCs w:val="20"/>
        </w:rPr>
      </w:pPr>
    </w:p>
    <w:p w14:paraId="5E9CCD4F" w14:textId="407D463C" w:rsidR="00874F04" w:rsidRDefault="00874F04">
      <w:pPr>
        <w:rPr>
          <w:rFonts w:cs="Times New Roman"/>
          <w:szCs w:val="20"/>
        </w:rPr>
      </w:pPr>
    </w:p>
    <w:p w14:paraId="20FC5346" w14:textId="77777777" w:rsidR="00874F04" w:rsidRPr="00AC2FE5" w:rsidRDefault="00874F04">
      <w:pPr>
        <w:rPr>
          <w:rFonts w:cs="Times New Roman"/>
          <w:szCs w:val="20"/>
        </w:rPr>
      </w:pPr>
    </w:p>
    <w:p w14:paraId="57556198" w14:textId="77777777" w:rsidR="009172AD" w:rsidRPr="00AC2FE5" w:rsidRDefault="009172AD" w:rsidP="009172AD">
      <w:pPr>
        <w:pStyle w:val="Heading3"/>
      </w:pPr>
      <w:r w:rsidRPr="00AC2FE5">
        <w:lastRenderedPageBreak/>
        <w:t>Rate-of-Return Objective</w:t>
      </w:r>
    </w:p>
    <w:p w14:paraId="018DF76D" w14:textId="77777777" w:rsidR="009172AD" w:rsidRPr="00AC2FE5" w:rsidRDefault="009172AD">
      <w:pPr>
        <w:rPr>
          <w:rFonts w:cs="Times New Roman"/>
          <w:szCs w:val="20"/>
        </w:rPr>
      </w:pPr>
    </w:p>
    <w:p w14:paraId="3E59BB4F" w14:textId="77777777" w:rsidR="009172AD" w:rsidRPr="00AC2FE5" w:rsidRDefault="009172AD">
      <w:pPr>
        <w:rPr>
          <w:rFonts w:cs="Times New Roman"/>
          <w:szCs w:val="20"/>
        </w:rPr>
      </w:pPr>
      <w:r w:rsidRPr="00AC2FE5">
        <w:rPr>
          <w:rFonts w:cs="Times New Roman"/>
          <w:szCs w:val="20"/>
        </w:rPr>
        <w:t xml:space="preserve">Every investment choice you make involves a </w:t>
      </w:r>
      <w:r w:rsidR="00585D11" w:rsidRPr="00AC2FE5">
        <w:rPr>
          <w:rFonts w:cs="Times New Roman"/>
          <w:szCs w:val="20"/>
        </w:rPr>
        <w:t>tradeoff</w:t>
      </w:r>
      <w:r w:rsidRPr="00AC2FE5">
        <w:rPr>
          <w:rFonts w:cs="Times New Roman"/>
          <w:szCs w:val="20"/>
        </w:rPr>
        <w:t xml:space="preserve"> between risk and return.</w:t>
      </w:r>
      <w:r w:rsidR="005A72F9">
        <w:rPr>
          <w:rFonts w:cs="Times New Roman"/>
          <w:szCs w:val="20"/>
        </w:rPr>
        <w:t xml:space="preserve"> </w:t>
      </w:r>
      <w:r w:rsidRPr="00AC2FE5">
        <w:rPr>
          <w:rFonts w:cs="Times New Roman"/>
          <w:szCs w:val="20"/>
        </w:rPr>
        <w:t>In general, a portfolio of safer investments will have less growth potential than a riskier one.</w:t>
      </w:r>
      <w:r w:rsidR="00242B13">
        <w:rPr>
          <w:rFonts w:cs="Times New Roman"/>
          <w:szCs w:val="20"/>
        </w:rPr>
        <w:t xml:space="preserve"> </w:t>
      </w:r>
      <w:r w:rsidRPr="00AC2FE5">
        <w:rPr>
          <w:rFonts w:cs="Times New Roman"/>
          <w:szCs w:val="20"/>
        </w:rPr>
        <w:t>To increase the rate-of-return objective, you will typically have to take more risk.</w:t>
      </w:r>
      <w:r w:rsidR="00242B13">
        <w:rPr>
          <w:rFonts w:cs="Times New Roman"/>
          <w:szCs w:val="20"/>
        </w:rPr>
        <w:t xml:space="preserve"> </w:t>
      </w:r>
      <w:r w:rsidRPr="00AC2FE5">
        <w:rPr>
          <w:rFonts w:cs="Times New Roman"/>
          <w:szCs w:val="20"/>
        </w:rPr>
        <w:t>Thus, your rate-of-return objective must match the realistic opportunities that you have, given your time horizon and ability to take risk.</w:t>
      </w:r>
      <w:r w:rsidR="00325FE2">
        <w:rPr>
          <w:rFonts w:cs="Times New Roman"/>
          <w:szCs w:val="20"/>
        </w:rPr>
        <w:t xml:space="preserve"> </w:t>
      </w:r>
      <w:r w:rsidRPr="00AC2FE5">
        <w:rPr>
          <w:rFonts w:cs="Times New Roman"/>
          <w:szCs w:val="20"/>
        </w:rPr>
        <w:t xml:space="preserve">If your rate-of-return objective is higher than your time horizon and risk attitude permit, then you must adjust one of the three parameters. </w:t>
      </w:r>
    </w:p>
    <w:p w14:paraId="13738DB6" w14:textId="77777777" w:rsidR="009172AD" w:rsidRPr="00AC2FE5" w:rsidRDefault="009172AD">
      <w:pPr>
        <w:rPr>
          <w:rFonts w:cs="Times New Roman"/>
          <w:szCs w:val="20"/>
        </w:rPr>
      </w:pPr>
    </w:p>
    <w:p w14:paraId="53102D0C" w14:textId="77777777" w:rsidR="009172AD" w:rsidRPr="00AC2FE5" w:rsidRDefault="009172AD">
      <w:pPr>
        <w:rPr>
          <w:rFonts w:cs="Times New Roman"/>
          <w:szCs w:val="20"/>
        </w:rPr>
      </w:pPr>
      <w:r w:rsidRPr="00AC2FE5">
        <w:rPr>
          <w:rFonts w:cs="Times New Roman"/>
          <w:szCs w:val="20"/>
        </w:rPr>
        <w:t>All other things being equal, you would most likely prefer to have a higher return. In particular, if two portfolios were equally risky, but one made a higher rate-of-return objective feasible, then you would choose the more rewarding portfolio.</w:t>
      </w:r>
      <w:r w:rsidR="00242B13">
        <w:rPr>
          <w:rFonts w:cs="Times New Roman"/>
          <w:szCs w:val="20"/>
        </w:rPr>
        <w:t xml:space="preserve"> </w:t>
      </w:r>
      <w:r w:rsidRPr="00AC2FE5">
        <w:rPr>
          <w:rFonts w:cs="Times New Roman"/>
          <w:szCs w:val="20"/>
        </w:rPr>
        <w:t xml:space="preserve">One way to construct a rate-of-return objective is to find the portfolio that offers the highest possible rate-of-return objective for your time horizon and risk attitude. In the language of the academic study of investments, this is an </w:t>
      </w:r>
      <w:r w:rsidRPr="00AC2FE5">
        <w:rPr>
          <w:rFonts w:cs="Times New Roman"/>
          <w:i/>
          <w:iCs/>
          <w:szCs w:val="20"/>
        </w:rPr>
        <w:t>efficient portfolio</w:t>
      </w:r>
      <w:r w:rsidRPr="00AC2FE5">
        <w:rPr>
          <w:rFonts w:cs="Times New Roman"/>
          <w:szCs w:val="20"/>
        </w:rPr>
        <w:t xml:space="preserve">. </w:t>
      </w:r>
    </w:p>
    <w:p w14:paraId="2E9D0C76" w14:textId="77777777" w:rsidR="009172AD" w:rsidRPr="00AC2FE5" w:rsidRDefault="009172AD">
      <w:pPr>
        <w:rPr>
          <w:rFonts w:cs="Times New Roman"/>
          <w:szCs w:val="20"/>
        </w:rPr>
      </w:pPr>
    </w:p>
    <w:p w14:paraId="59F3E24F" w14:textId="77777777" w:rsidR="009172AD" w:rsidRPr="00AC2FE5" w:rsidRDefault="009172AD">
      <w:pPr>
        <w:rPr>
          <w:rFonts w:cs="Times New Roman"/>
          <w:szCs w:val="20"/>
        </w:rPr>
      </w:pPr>
      <w:r w:rsidRPr="00AC2FE5">
        <w:rPr>
          <w:rFonts w:cs="Times New Roman"/>
          <w:szCs w:val="20"/>
        </w:rPr>
        <w:t>Over a long investment horizon, a modest increase in your rate of return can make a significant difference in the amount you accumulate. The table below shows the sum to which an initial investment of $1 million will grow over 10 and 20 years at rates of return ranging from 2 percent to 10 percent.</w:t>
      </w:r>
      <w:r w:rsidRPr="00AC2FE5">
        <w:rPr>
          <w:rStyle w:val="FootnoteReference"/>
          <w:rFonts w:cs="Times New Roman"/>
          <w:szCs w:val="20"/>
        </w:rPr>
        <w:footnoteReference w:id="4"/>
      </w:r>
    </w:p>
    <w:p w14:paraId="7C3DC990" w14:textId="77777777" w:rsidR="00263E25" w:rsidRPr="00AC2FE5" w:rsidRDefault="00263E25">
      <w:pPr>
        <w:rPr>
          <w:rFonts w:cs="Times New Roman"/>
          <w:szCs w:val="20"/>
        </w:rPr>
      </w:pPr>
    </w:p>
    <w:tbl>
      <w:tblPr>
        <w:tblW w:w="0" w:type="auto"/>
        <w:jc w:val="center"/>
        <w:tblLayout w:type="fixed"/>
        <w:tblLook w:val="0000" w:firstRow="0" w:lastRow="0" w:firstColumn="0" w:lastColumn="0" w:noHBand="0" w:noVBand="0"/>
      </w:tblPr>
      <w:tblGrid>
        <w:gridCol w:w="1518"/>
        <w:gridCol w:w="1866"/>
        <w:gridCol w:w="2280"/>
        <w:gridCol w:w="2544"/>
      </w:tblGrid>
      <w:tr w:rsidR="009172AD" w:rsidRPr="00AC2FE5" w14:paraId="4D34B92E"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vAlign w:val="center"/>
          </w:tcPr>
          <w:p w14:paraId="696A837C" w14:textId="77777777" w:rsidR="009172AD" w:rsidRPr="00AC2FE5" w:rsidRDefault="009172AD">
            <w:pPr>
              <w:jc w:val="center"/>
              <w:rPr>
                <w:rFonts w:cs="Times New Roman"/>
                <w:b/>
                <w:bCs/>
                <w:szCs w:val="20"/>
              </w:rPr>
            </w:pPr>
            <w:r w:rsidRPr="00AC2FE5">
              <w:rPr>
                <w:rFonts w:cs="Times New Roman"/>
                <w:b/>
                <w:bCs/>
                <w:szCs w:val="20"/>
              </w:rPr>
              <w:t>Rate of Return</w:t>
            </w:r>
          </w:p>
        </w:tc>
        <w:tc>
          <w:tcPr>
            <w:tcW w:w="1866" w:type="dxa"/>
            <w:tcBorders>
              <w:top w:val="single" w:sz="8" w:space="0" w:color="auto"/>
              <w:left w:val="nil"/>
              <w:bottom w:val="single" w:sz="8" w:space="0" w:color="auto"/>
              <w:right w:val="single" w:sz="8" w:space="0" w:color="auto"/>
            </w:tcBorders>
            <w:vAlign w:val="center"/>
          </w:tcPr>
          <w:p w14:paraId="364314B9" w14:textId="77777777" w:rsidR="009172AD" w:rsidRPr="00AC2FE5" w:rsidRDefault="009172AD" w:rsidP="005852E9">
            <w:pPr>
              <w:jc w:val="center"/>
              <w:rPr>
                <w:rFonts w:cs="Times New Roman"/>
                <w:b/>
                <w:bCs/>
                <w:szCs w:val="20"/>
              </w:rPr>
            </w:pPr>
            <w:r w:rsidRPr="00AC2FE5">
              <w:rPr>
                <w:rFonts w:cs="Times New Roman"/>
                <w:b/>
                <w:bCs/>
                <w:szCs w:val="20"/>
              </w:rPr>
              <w:t xml:space="preserve">Initial </w:t>
            </w:r>
            <w:r w:rsidR="005852E9">
              <w:rPr>
                <w:rFonts w:cs="Times New Roman"/>
                <w:b/>
                <w:bCs/>
                <w:szCs w:val="20"/>
              </w:rPr>
              <w:t>I</w:t>
            </w:r>
            <w:r w:rsidRPr="00AC2FE5">
              <w:rPr>
                <w:rFonts w:cs="Times New Roman"/>
                <w:b/>
                <w:bCs/>
                <w:szCs w:val="20"/>
              </w:rPr>
              <w:t>nvestment</w:t>
            </w:r>
          </w:p>
        </w:tc>
        <w:tc>
          <w:tcPr>
            <w:tcW w:w="2280" w:type="dxa"/>
            <w:tcBorders>
              <w:top w:val="single" w:sz="8" w:space="0" w:color="auto"/>
              <w:left w:val="nil"/>
              <w:bottom w:val="single" w:sz="8" w:space="0" w:color="auto"/>
              <w:right w:val="single" w:sz="8" w:space="0" w:color="auto"/>
            </w:tcBorders>
            <w:vAlign w:val="center"/>
          </w:tcPr>
          <w:p w14:paraId="467ECD88" w14:textId="77777777" w:rsidR="009172AD" w:rsidRPr="00AC2FE5" w:rsidRDefault="009172AD" w:rsidP="005852E9">
            <w:pPr>
              <w:jc w:val="center"/>
              <w:rPr>
                <w:rFonts w:cs="Times New Roman"/>
                <w:b/>
                <w:bCs/>
                <w:szCs w:val="20"/>
              </w:rPr>
            </w:pPr>
            <w:r w:rsidRPr="00AC2FE5">
              <w:rPr>
                <w:rFonts w:cs="Times New Roman"/>
                <w:b/>
                <w:bCs/>
                <w:szCs w:val="20"/>
              </w:rPr>
              <w:t xml:space="preserve">Balance After 10 </w:t>
            </w:r>
            <w:r w:rsidR="005852E9">
              <w:rPr>
                <w:rFonts w:cs="Times New Roman"/>
                <w:b/>
                <w:bCs/>
                <w:szCs w:val="20"/>
              </w:rPr>
              <w:t>Y</w:t>
            </w:r>
            <w:r w:rsidRPr="00AC2FE5">
              <w:rPr>
                <w:rFonts w:cs="Times New Roman"/>
                <w:b/>
                <w:bCs/>
                <w:szCs w:val="20"/>
              </w:rPr>
              <w:t>ears</w:t>
            </w:r>
          </w:p>
        </w:tc>
        <w:tc>
          <w:tcPr>
            <w:tcW w:w="2544" w:type="dxa"/>
            <w:tcBorders>
              <w:top w:val="single" w:sz="8" w:space="0" w:color="auto"/>
              <w:left w:val="nil"/>
              <w:bottom w:val="single" w:sz="8" w:space="0" w:color="auto"/>
              <w:right w:val="single" w:sz="8" w:space="0" w:color="auto"/>
            </w:tcBorders>
            <w:vAlign w:val="center"/>
          </w:tcPr>
          <w:p w14:paraId="099FA976" w14:textId="77777777" w:rsidR="009172AD" w:rsidRPr="00AC2FE5" w:rsidRDefault="009172AD" w:rsidP="005852E9">
            <w:pPr>
              <w:jc w:val="center"/>
              <w:rPr>
                <w:rFonts w:cs="Times New Roman"/>
                <w:b/>
                <w:bCs/>
                <w:szCs w:val="20"/>
              </w:rPr>
            </w:pPr>
            <w:r w:rsidRPr="00AC2FE5">
              <w:rPr>
                <w:rFonts w:cs="Times New Roman"/>
                <w:b/>
                <w:bCs/>
                <w:szCs w:val="20"/>
              </w:rPr>
              <w:t xml:space="preserve">Balance After 20 </w:t>
            </w:r>
            <w:r w:rsidR="005852E9">
              <w:rPr>
                <w:rFonts w:cs="Times New Roman"/>
                <w:b/>
                <w:bCs/>
                <w:szCs w:val="20"/>
              </w:rPr>
              <w:t>Y</w:t>
            </w:r>
            <w:r w:rsidRPr="00AC2FE5">
              <w:rPr>
                <w:rFonts w:cs="Times New Roman"/>
                <w:b/>
                <w:bCs/>
                <w:szCs w:val="20"/>
              </w:rPr>
              <w:t>ears</w:t>
            </w:r>
          </w:p>
        </w:tc>
      </w:tr>
      <w:tr w:rsidR="009172AD" w:rsidRPr="00AC2FE5" w14:paraId="7BF09C06"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vAlign w:val="center"/>
          </w:tcPr>
          <w:p w14:paraId="7AB10514" w14:textId="77777777" w:rsidR="009172AD" w:rsidRPr="00AC2FE5" w:rsidRDefault="009172AD">
            <w:pPr>
              <w:jc w:val="center"/>
              <w:rPr>
                <w:rFonts w:cs="Times New Roman"/>
                <w:szCs w:val="20"/>
              </w:rPr>
            </w:pPr>
            <w:r w:rsidRPr="00AC2FE5">
              <w:rPr>
                <w:rFonts w:cs="Times New Roman"/>
                <w:szCs w:val="20"/>
              </w:rPr>
              <w:t>2%</w:t>
            </w:r>
          </w:p>
        </w:tc>
        <w:tc>
          <w:tcPr>
            <w:tcW w:w="1866" w:type="dxa"/>
            <w:tcBorders>
              <w:top w:val="single" w:sz="8" w:space="0" w:color="auto"/>
              <w:left w:val="nil"/>
              <w:bottom w:val="single" w:sz="8" w:space="0" w:color="auto"/>
              <w:right w:val="single" w:sz="8" w:space="0" w:color="auto"/>
            </w:tcBorders>
            <w:vAlign w:val="center"/>
          </w:tcPr>
          <w:p w14:paraId="741CDBA1" w14:textId="77777777" w:rsidR="009172AD" w:rsidRPr="00AC2FE5" w:rsidRDefault="009172AD">
            <w:pPr>
              <w:jc w:val="center"/>
              <w:rPr>
                <w:rFonts w:cs="Times New Roman"/>
                <w:szCs w:val="20"/>
              </w:rPr>
            </w:pPr>
            <w:r w:rsidRPr="00AC2FE5">
              <w:rPr>
                <w:rFonts w:cs="Times New Roman"/>
                <w:szCs w:val="20"/>
              </w:rPr>
              <w:t>$1,000,000</w:t>
            </w:r>
          </w:p>
        </w:tc>
        <w:tc>
          <w:tcPr>
            <w:tcW w:w="2280" w:type="dxa"/>
            <w:tcBorders>
              <w:top w:val="single" w:sz="8" w:space="0" w:color="auto"/>
              <w:left w:val="nil"/>
              <w:bottom w:val="single" w:sz="8" w:space="0" w:color="auto"/>
              <w:right w:val="single" w:sz="8" w:space="0" w:color="auto"/>
            </w:tcBorders>
            <w:vAlign w:val="center"/>
          </w:tcPr>
          <w:p w14:paraId="1222AA00" w14:textId="77777777" w:rsidR="009172AD" w:rsidRPr="00AC2FE5" w:rsidRDefault="009172AD">
            <w:pPr>
              <w:jc w:val="center"/>
              <w:rPr>
                <w:rFonts w:cs="Times New Roman"/>
                <w:szCs w:val="20"/>
              </w:rPr>
            </w:pPr>
            <w:r w:rsidRPr="00AC2FE5">
              <w:rPr>
                <w:rFonts w:cs="Times New Roman"/>
                <w:szCs w:val="20"/>
              </w:rPr>
              <w:t>$1,218,994</w:t>
            </w:r>
          </w:p>
        </w:tc>
        <w:tc>
          <w:tcPr>
            <w:tcW w:w="2544" w:type="dxa"/>
            <w:tcBorders>
              <w:top w:val="single" w:sz="8" w:space="0" w:color="auto"/>
              <w:left w:val="nil"/>
              <w:bottom w:val="single" w:sz="8" w:space="0" w:color="auto"/>
              <w:right w:val="single" w:sz="8" w:space="0" w:color="auto"/>
            </w:tcBorders>
            <w:vAlign w:val="center"/>
          </w:tcPr>
          <w:p w14:paraId="56E074E0" w14:textId="77777777" w:rsidR="009172AD" w:rsidRPr="00AC2FE5" w:rsidRDefault="009172AD">
            <w:pPr>
              <w:jc w:val="center"/>
              <w:rPr>
                <w:rFonts w:cs="Times New Roman"/>
                <w:szCs w:val="20"/>
              </w:rPr>
            </w:pPr>
            <w:r w:rsidRPr="00AC2FE5">
              <w:rPr>
                <w:rFonts w:cs="Times New Roman"/>
                <w:szCs w:val="20"/>
              </w:rPr>
              <w:t>$1,485,947</w:t>
            </w:r>
          </w:p>
        </w:tc>
      </w:tr>
      <w:tr w:rsidR="009172AD" w:rsidRPr="00AC2FE5" w14:paraId="7239F020"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shd w:val="clear" w:color="auto" w:fill="D9D9D9"/>
            <w:vAlign w:val="center"/>
          </w:tcPr>
          <w:p w14:paraId="589E8C89" w14:textId="77777777" w:rsidR="009172AD" w:rsidRPr="00AC2FE5" w:rsidRDefault="009172AD">
            <w:pPr>
              <w:jc w:val="center"/>
              <w:rPr>
                <w:rFonts w:cs="Times New Roman"/>
                <w:szCs w:val="20"/>
              </w:rPr>
            </w:pPr>
            <w:r w:rsidRPr="00AC2FE5">
              <w:rPr>
                <w:rFonts w:cs="Times New Roman"/>
                <w:szCs w:val="20"/>
              </w:rPr>
              <w:t>4%</w:t>
            </w:r>
          </w:p>
        </w:tc>
        <w:tc>
          <w:tcPr>
            <w:tcW w:w="1866" w:type="dxa"/>
            <w:tcBorders>
              <w:top w:val="single" w:sz="8" w:space="0" w:color="auto"/>
              <w:left w:val="nil"/>
              <w:bottom w:val="single" w:sz="8" w:space="0" w:color="auto"/>
              <w:right w:val="single" w:sz="8" w:space="0" w:color="auto"/>
            </w:tcBorders>
            <w:shd w:val="clear" w:color="auto" w:fill="D9D9D9"/>
            <w:vAlign w:val="center"/>
          </w:tcPr>
          <w:p w14:paraId="5582556F" w14:textId="77777777" w:rsidR="009172AD" w:rsidRPr="00AC2FE5" w:rsidRDefault="009172AD">
            <w:pPr>
              <w:jc w:val="center"/>
              <w:rPr>
                <w:rFonts w:cs="Times New Roman"/>
                <w:szCs w:val="20"/>
              </w:rPr>
            </w:pPr>
            <w:r w:rsidRPr="00AC2FE5">
              <w:rPr>
                <w:rFonts w:cs="Times New Roman"/>
                <w:szCs w:val="20"/>
              </w:rPr>
              <w:t>$1,000,000</w:t>
            </w:r>
          </w:p>
        </w:tc>
        <w:tc>
          <w:tcPr>
            <w:tcW w:w="2280" w:type="dxa"/>
            <w:tcBorders>
              <w:top w:val="single" w:sz="8" w:space="0" w:color="auto"/>
              <w:left w:val="nil"/>
              <w:bottom w:val="single" w:sz="8" w:space="0" w:color="auto"/>
              <w:right w:val="single" w:sz="8" w:space="0" w:color="auto"/>
            </w:tcBorders>
            <w:shd w:val="clear" w:color="auto" w:fill="D9D9D9"/>
            <w:vAlign w:val="center"/>
          </w:tcPr>
          <w:p w14:paraId="04147239" w14:textId="77777777" w:rsidR="009172AD" w:rsidRPr="00AC2FE5" w:rsidRDefault="009172AD">
            <w:pPr>
              <w:jc w:val="center"/>
              <w:rPr>
                <w:rFonts w:cs="Times New Roman"/>
                <w:szCs w:val="20"/>
              </w:rPr>
            </w:pPr>
            <w:r w:rsidRPr="00AC2FE5">
              <w:rPr>
                <w:rFonts w:cs="Times New Roman"/>
                <w:szCs w:val="20"/>
              </w:rPr>
              <w:t>$1,480,244</w:t>
            </w:r>
          </w:p>
        </w:tc>
        <w:tc>
          <w:tcPr>
            <w:tcW w:w="2544" w:type="dxa"/>
            <w:tcBorders>
              <w:top w:val="single" w:sz="8" w:space="0" w:color="auto"/>
              <w:left w:val="nil"/>
              <w:bottom w:val="single" w:sz="8" w:space="0" w:color="auto"/>
              <w:right w:val="single" w:sz="8" w:space="0" w:color="auto"/>
            </w:tcBorders>
            <w:shd w:val="clear" w:color="auto" w:fill="D9D9D9"/>
            <w:vAlign w:val="center"/>
          </w:tcPr>
          <w:p w14:paraId="1F6EA197" w14:textId="77777777" w:rsidR="009172AD" w:rsidRPr="00AC2FE5" w:rsidRDefault="009172AD">
            <w:pPr>
              <w:jc w:val="center"/>
              <w:rPr>
                <w:rFonts w:cs="Times New Roman"/>
                <w:szCs w:val="20"/>
              </w:rPr>
            </w:pPr>
            <w:r w:rsidRPr="00AC2FE5">
              <w:rPr>
                <w:rFonts w:cs="Times New Roman"/>
                <w:szCs w:val="20"/>
              </w:rPr>
              <w:t>$2,191,123</w:t>
            </w:r>
          </w:p>
        </w:tc>
      </w:tr>
      <w:tr w:rsidR="009172AD" w:rsidRPr="00AC2FE5" w14:paraId="2EDCE773"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vAlign w:val="center"/>
          </w:tcPr>
          <w:p w14:paraId="33BDE666" w14:textId="77777777" w:rsidR="009172AD" w:rsidRPr="00AC2FE5" w:rsidRDefault="009172AD">
            <w:pPr>
              <w:jc w:val="center"/>
              <w:rPr>
                <w:rFonts w:cs="Times New Roman"/>
                <w:szCs w:val="20"/>
              </w:rPr>
            </w:pPr>
            <w:r w:rsidRPr="00AC2FE5">
              <w:rPr>
                <w:rFonts w:cs="Times New Roman"/>
                <w:szCs w:val="20"/>
              </w:rPr>
              <w:t>6%</w:t>
            </w:r>
          </w:p>
        </w:tc>
        <w:tc>
          <w:tcPr>
            <w:tcW w:w="1866" w:type="dxa"/>
            <w:tcBorders>
              <w:top w:val="single" w:sz="8" w:space="0" w:color="auto"/>
              <w:left w:val="nil"/>
              <w:bottom w:val="single" w:sz="8" w:space="0" w:color="auto"/>
              <w:right w:val="single" w:sz="8" w:space="0" w:color="auto"/>
            </w:tcBorders>
            <w:vAlign w:val="center"/>
          </w:tcPr>
          <w:p w14:paraId="173CAAC1" w14:textId="77777777" w:rsidR="009172AD" w:rsidRPr="00AC2FE5" w:rsidRDefault="009172AD">
            <w:pPr>
              <w:jc w:val="center"/>
              <w:rPr>
                <w:rFonts w:cs="Times New Roman"/>
                <w:szCs w:val="20"/>
              </w:rPr>
            </w:pPr>
            <w:r w:rsidRPr="00AC2FE5">
              <w:rPr>
                <w:rFonts w:cs="Times New Roman"/>
                <w:szCs w:val="20"/>
              </w:rPr>
              <w:t>$1,000,000</w:t>
            </w:r>
          </w:p>
        </w:tc>
        <w:tc>
          <w:tcPr>
            <w:tcW w:w="2280" w:type="dxa"/>
            <w:tcBorders>
              <w:top w:val="single" w:sz="8" w:space="0" w:color="auto"/>
              <w:left w:val="nil"/>
              <w:bottom w:val="single" w:sz="8" w:space="0" w:color="auto"/>
              <w:right w:val="single" w:sz="8" w:space="0" w:color="auto"/>
            </w:tcBorders>
            <w:vAlign w:val="center"/>
          </w:tcPr>
          <w:p w14:paraId="0D6F5D79" w14:textId="77777777" w:rsidR="009172AD" w:rsidRPr="00AC2FE5" w:rsidRDefault="009172AD">
            <w:pPr>
              <w:jc w:val="center"/>
              <w:rPr>
                <w:rFonts w:cs="Times New Roman"/>
                <w:szCs w:val="20"/>
              </w:rPr>
            </w:pPr>
            <w:r w:rsidRPr="00AC2FE5">
              <w:rPr>
                <w:rFonts w:cs="Times New Roman"/>
                <w:szCs w:val="20"/>
              </w:rPr>
              <w:t>$1,790,848</w:t>
            </w:r>
          </w:p>
        </w:tc>
        <w:tc>
          <w:tcPr>
            <w:tcW w:w="2544" w:type="dxa"/>
            <w:tcBorders>
              <w:top w:val="single" w:sz="8" w:space="0" w:color="auto"/>
              <w:left w:val="nil"/>
              <w:bottom w:val="single" w:sz="8" w:space="0" w:color="auto"/>
              <w:right w:val="single" w:sz="8" w:space="0" w:color="auto"/>
            </w:tcBorders>
            <w:vAlign w:val="center"/>
          </w:tcPr>
          <w:p w14:paraId="046196A5" w14:textId="77777777" w:rsidR="009172AD" w:rsidRPr="00AC2FE5" w:rsidRDefault="009172AD">
            <w:pPr>
              <w:jc w:val="center"/>
              <w:rPr>
                <w:rFonts w:cs="Times New Roman"/>
                <w:szCs w:val="20"/>
              </w:rPr>
            </w:pPr>
            <w:r w:rsidRPr="00AC2FE5">
              <w:rPr>
                <w:rFonts w:cs="Times New Roman"/>
                <w:szCs w:val="20"/>
              </w:rPr>
              <w:t>$3,207,136</w:t>
            </w:r>
          </w:p>
        </w:tc>
      </w:tr>
      <w:tr w:rsidR="009172AD" w:rsidRPr="00AC2FE5" w14:paraId="2D52A106"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shd w:val="clear" w:color="auto" w:fill="D9D9D9"/>
            <w:vAlign w:val="center"/>
          </w:tcPr>
          <w:p w14:paraId="6BA7E065" w14:textId="77777777" w:rsidR="009172AD" w:rsidRPr="00AC2FE5" w:rsidRDefault="009172AD">
            <w:pPr>
              <w:jc w:val="center"/>
              <w:rPr>
                <w:rFonts w:cs="Times New Roman"/>
                <w:szCs w:val="20"/>
              </w:rPr>
            </w:pPr>
            <w:r w:rsidRPr="00AC2FE5">
              <w:rPr>
                <w:rFonts w:cs="Times New Roman"/>
                <w:szCs w:val="20"/>
              </w:rPr>
              <w:t>8%</w:t>
            </w:r>
          </w:p>
        </w:tc>
        <w:tc>
          <w:tcPr>
            <w:tcW w:w="1866" w:type="dxa"/>
            <w:tcBorders>
              <w:top w:val="single" w:sz="8" w:space="0" w:color="auto"/>
              <w:left w:val="nil"/>
              <w:bottom w:val="single" w:sz="8" w:space="0" w:color="auto"/>
              <w:right w:val="single" w:sz="8" w:space="0" w:color="auto"/>
            </w:tcBorders>
            <w:shd w:val="clear" w:color="auto" w:fill="D9D9D9"/>
            <w:vAlign w:val="center"/>
          </w:tcPr>
          <w:p w14:paraId="225876AF" w14:textId="77777777" w:rsidR="009172AD" w:rsidRPr="00AC2FE5" w:rsidRDefault="009172AD">
            <w:pPr>
              <w:jc w:val="center"/>
              <w:rPr>
                <w:rFonts w:cs="Times New Roman"/>
                <w:szCs w:val="20"/>
              </w:rPr>
            </w:pPr>
            <w:r w:rsidRPr="00AC2FE5">
              <w:rPr>
                <w:rFonts w:cs="Times New Roman"/>
                <w:szCs w:val="20"/>
              </w:rPr>
              <w:t>$1,000,000</w:t>
            </w:r>
          </w:p>
        </w:tc>
        <w:tc>
          <w:tcPr>
            <w:tcW w:w="2280" w:type="dxa"/>
            <w:tcBorders>
              <w:top w:val="single" w:sz="8" w:space="0" w:color="auto"/>
              <w:left w:val="nil"/>
              <w:bottom w:val="single" w:sz="8" w:space="0" w:color="auto"/>
              <w:right w:val="single" w:sz="8" w:space="0" w:color="auto"/>
            </w:tcBorders>
            <w:shd w:val="clear" w:color="auto" w:fill="D9D9D9"/>
            <w:vAlign w:val="center"/>
          </w:tcPr>
          <w:p w14:paraId="36CDD1F2" w14:textId="77777777" w:rsidR="009172AD" w:rsidRPr="00AC2FE5" w:rsidRDefault="009172AD">
            <w:pPr>
              <w:jc w:val="center"/>
              <w:rPr>
                <w:rFonts w:cs="Times New Roman"/>
                <w:szCs w:val="20"/>
              </w:rPr>
            </w:pPr>
            <w:r w:rsidRPr="00AC2FE5">
              <w:rPr>
                <w:rFonts w:cs="Times New Roman"/>
                <w:szCs w:val="20"/>
              </w:rPr>
              <w:t>$2,158,925</w:t>
            </w:r>
          </w:p>
        </w:tc>
        <w:tc>
          <w:tcPr>
            <w:tcW w:w="2544" w:type="dxa"/>
            <w:tcBorders>
              <w:top w:val="single" w:sz="8" w:space="0" w:color="auto"/>
              <w:left w:val="nil"/>
              <w:bottom w:val="single" w:sz="8" w:space="0" w:color="auto"/>
              <w:right w:val="single" w:sz="8" w:space="0" w:color="auto"/>
            </w:tcBorders>
            <w:shd w:val="clear" w:color="auto" w:fill="D9D9D9"/>
            <w:vAlign w:val="center"/>
          </w:tcPr>
          <w:p w14:paraId="10FBF780" w14:textId="77777777" w:rsidR="009172AD" w:rsidRPr="00AC2FE5" w:rsidRDefault="009172AD">
            <w:pPr>
              <w:jc w:val="center"/>
              <w:rPr>
                <w:rFonts w:cs="Times New Roman"/>
                <w:szCs w:val="20"/>
              </w:rPr>
            </w:pPr>
            <w:r w:rsidRPr="00AC2FE5">
              <w:rPr>
                <w:rFonts w:cs="Times New Roman"/>
                <w:szCs w:val="20"/>
              </w:rPr>
              <w:t>$4,6609,57</w:t>
            </w:r>
          </w:p>
        </w:tc>
      </w:tr>
      <w:tr w:rsidR="009172AD" w:rsidRPr="00AC2FE5" w14:paraId="6F9CFD65" w14:textId="77777777" w:rsidTr="005852E9">
        <w:trPr>
          <w:trHeight w:hRule="exact" w:val="288"/>
          <w:jc w:val="center"/>
        </w:trPr>
        <w:tc>
          <w:tcPr>
            <w:tcW w:w="1518" w:type="dxa"/>
            <w:tcBorders>
              <w:top w:val="single" w:sz="8" w:space="0" w:color="auto"/>
              <w:left w:val="single" w:sz="8" w:space="0" w:color="auto"/>
              <w:bottom w:val="single" w:sz="8" w:space="0" w:color="auto"/>
              <w:right w:val="single" w:sz="8" w:space="0" w:color="auto"/>
            </w:tcBorders>
            <w:vAlign w:val="center"/>
          </w:tcPr>
          <w:p w14:paraId="55F82D82" w14:textId="77777777" w:rsidR="009172AD" w:rsidRPr="00AC2FE5" w:rsidRDefault="009172AD">
            <w:pPr>
              <w:jc w:val="center"/>
              <w:rPr>
                <w:rFonts w:cs="Times New Roman"/>
                <w:szCs w:val="20"/>
              </w:rPr>
            </w:pPr>
            <w:r w:rsidRPr="00AC2FE5">
              <w:rPr>
                <w:rFonts w:cs="Times New Roman"/>
                <w:szCs w:val="20"/>
              </w:rPr>
              <w:t>10%</w:t>
            </w:r>
          </w:p>
        </w:tc>
        <w:tc>
          <w:tcPr>
            <w:tcW w:w="1866" w:type="dxa"/>
            <w:tcBorders>
              <w:top w:val="single" w:sz="8" w:space="0" w:color="auto"/>
              <w:left w:val="nil"/>
              <w:bottom w:val="single" w:sz="8" w:space="0" w:color="auto"/>
              <w:right w:val="single" w:sz="8" w:space="0" w:color="auto"/>
            </w:tcBorders>
            <w:vAlign w:val="center"/>
          </w:tcPr>
          <w:p w14:paraId="2CF6B543" w14:textId="77777777" w:rsidR="009172AD" w:rsidRPr="00AC2FE5" w:rsidRDefault="009172AD">
            <w:pPr>
              <w:jc w:val="center"/>
              <w:rPr>
                <w:rFonts w:cs="Times New Roman"/>
                <w:szCs w:val="20"/>
              </w:rPr>
            </w:pPr>
            <w:r w:rsidRPr="00AC2FE5">
              <w:rPr>
                <w:rFonts w:cs="Times New Roman"/>
                <w:szCs w:val="20"/>
              </w:rPr>
              <w:t>$1,000,000</w:t>
            </w:r>
          </w:p>
        </w:tc>
        <w:tc>
          <w:tcPr>
            <w:tcW w:w="2280" w:type="dxa"/>
            <w:tcBorders>
              <w:top w:val="single" w:sz="8" w:space="0" w:color="auto"/>
              <w:left w:val="nil"/>
              <w:bottom w:val="single" w:sz="8" w:space="0" w:color="auto"/>
              <w:right w:val="single" w:sz="8" w:space="0" w:color="auto"/>
            </w:tcBorders>
            <w:vAlign w:val="center"/>
          </w:tcPr>
          <w:p w14:paraId="0F948770" w14:textId="77777777" w:rsidR="009172AD" w:rsidRPr="00AC2FE5" w:rsidRDefault="009172AD">
            <w:pPr>
              <w:jc w:val="center"/>
              <w:rPr>
                <w:rFonts w:cs="Times New Roman"/>
                <w:szCs w:val="20"/>
              </w:rPr>
            </w:pPr>
            <w:r w:rsidRPr="00AC2FE5">
              <w:rPr>
                <w:rFonts w:cs="Times New Roman"/>
                <w:szCs w:val="20"/>
              </w:rPr>
              <w:t>$2,593,743</w:t>
            </w:r>
          </w:p>
        </w:tc>
        <w:tc>
          <w:tcPr>
            <w:tcW w:w="2544" w:type="dxa"/>
            <w:tcBorders>
              <w:top w:val="single" w:sz="8" w:space="0" w:color="auto"/>
              <w:left w:val="nil"/>
              <w:bottom w:val="single" w:sz="8" w:space="0" w:color="auto"/>
              <w:right w:val="single" w:sz="8" w:space="0" w:color="auto"/>
            </w:tcBorders>
            <w:vAlign w:val="center"/>
          </w:tcPr>
          <w:p w14:paraId="501C7AB9" w14:textId="77777777" w:rsidR="009172AD" w:rsidRPr="00AC2FE5" w:rsidRDefault="009172AD">
            <w:pPr>
              <w:jc w:val="center"/>
              <w:rPr>
                <w:rFonts w:cs="Times New Roman"/>
                <w:szCs w:val="20"/>
              </w:rPr>
            </w:pPr>
            <w:r w:rsidRPr="00AC2FE5">
              <w:rPr>
                <w:rFonts w:cs="Times New Roman"/>
                <w:szCs w:val="20"/>
              </w:rPr>
              <w:t>$6,727,500</w:t>
            </w:r>
          </w:p>
        </w:tc>
      </w:tr>
    </w:tbl>
    <w:p w14:paraId="74B204FF" w14:textId="77777777" w:rsidR="001B7D01" w:rsidRPr="00AC2FE5" w:rsidRDefault="001B7D01">
      <w:pPr>
        <w:jc w:val="center"/>
        <w:rPr>
          <w:rFonts w:cs="Times New Roman"/>
          <w:szCs w:val="20"/>
        </w:rPr>
      </w:pPr>
    </w:p>
    <w:p w14:paraId="6C76ADD5" w14:textId="77777777" w:rsidR="009172AD" w:rsidRPr="00AC2FE5" w:rsidRDefault="009172AD" w:rsidP="009172AD">
      <w:pPr>
        <w:pStyle w:val="Heading2"/>
      </w:pPr>
      <w:bookmarkStart w:id="3" w:name="_Toc412470191"/>
      <w:r w:rsidRPr="00AC2FE5">
        <w:t>Step Three: Plan Your Asset Allocation</w:t>
      </w:r>
      <w:bookmarkEnd w:id="3"/>
    </w:p>
    <w:p w14:paraId="1FF7C6AE" w14:textId="77777777" w:rsidR="009172AD" w:rsidRPr="00AC2FE5" w:rsidRDefault="009172AD">
      <w:pPr>
        <w:rPr>
          <w:rFonts w:cs="Times New Roman"/>
          <w:szCs w:val="20"/>
        </w:rPr>
      </w:pPr>
    </w:p>
    <w:p w14:paraId="7F8DD640" w14:textId="77777777" w:rsidR="009172AD" w:rsidRPr="00AC2FE5" w:rsidRDefault="009172AD">
      <w:pPr>
        <w:rPr>
          <w:rFonts w:cs="Times New Roman"/>
          <w:szCs w:val="20"/>
        </w:rPr>
      </w:pPr>
      <w:r w:rsidRPr="00AC2FE5">
        <w:rPr>
          <w:rFonts w:cs="Times New Roman"/>
          <w:szCs w:val="20"/>
        </w:rPr>
        <w:t>If you have been careful in setting your long-term investment objectives, then you can be successful in planning your investments.</w:t>
      </w:r>
      <w:r w:rsidR="00242B13">
        <w:rPr>
          <w:rFonts w:cs="Times New Roman"/>
          <w:szCs w:val="20"/>
        </w:rPr>
        <w:t xml:space="preserve"> </w:t>
      </w:r>
      <w:r w:rsidRPr="00AC2FE5">
        <w:rPr>
          <w:rFonts w:cs="Times New Roman"/>
          <w:szCs w:val="20"/>
        </w:rPr>
        <w:t>Once we have worked with you to determine your time horizon and risk attitude, and satisfied you with a feasible rate-of-return objective that will meet your needs, we can begin the task of building your investment portfolio. The first step in this process is asset allocation.</w:t>
      </w:r>
    </w:p>
    <w:p w14:paraId="7F615BAB" w14:textId="77777777" w:rsidR="009172AD" w:rsidRPr="00AC2FE5" w:rsidRDefault="009172AD">
      <w:pPr>
        <w:rPr>
          <w:rFonts w:cs="Times New Roman"/>
          <w:szCs w:val="20"/>
        </w:rPr>
      </w:pPr>
    </w:p>
    <w:p w14:paraId="5506AA3A" w14:textId="77777777" w:rsidR="009172AD" w:rsidRPr="00AC2FE5" w:rsidRDefault="009172AD">
      <w:pPr>
        <w:rPr>
          <w:rFonts w:cs="Times New Roman"/>
          <w:szCs w:val="20"/>
        </w:rPr>
      </w:pPr>
      <w:r w:rsidRPr="00AC2FE5">
        <w:rPr>
          <w:rFonts w:cs="Times New Roman"/>
          <w:szCs w:val="20"/>
        </w:rPr>
        <w:t>Asset allocation is the process of deciding how much of your portfolio to invest in each of the different investment types, or asset classes—stocks, bonds and short-term investments (both domestic and foreign), as well as hard assets such as real estate.</w:t>
      </w:r>
      <w:r w:rsidR="00242B13">
        <w:rPr>
          <w:rFonts w:cs="Times New Roman"/>
          <w:szCs w:val="20"/>
        </w:rPr>
        <w:t xml:space="preserve"> </w:t>
      </w:r>
      <w:r w:rsidRPr="00AC2FE5">
        <w:rPr>
          <w:rFonts w:cs="Times New Roman"/>
          <w:szCs w:val="20"/>
        </w:rPr>
        <w:t xml:space="preserve">Asset allocation should be your first investment decision because it is the most important. </w:t>
      </w:r>
    </w:p>
    <w:p w14:paraId="7BBD5DB1" w14:textId="77777777" w:rsidR="009172AD" w:rsidRPr="00AC2FE5" w:rsidRDefault="009172AD">
      <w:pPr>
        <w:rPr>
          <w:rFonts w:cs="Times New Roman"/>
          <w:szCs w:val="20"/>
        </w:rPr>
      </w:pPr>
    </w:p>
    <w:p w14:paraId="2AC03B59" w14:textId="68EBBE1B" w:rsidR="009172AD" w:rsidRDefault="009172AD">
      <w:pPr>
        <w:rPr>
          <w:rFonts w:cs="Times New Roman"/>
          <w:szCs w:val="20"/>
        </w:rPr>
      </w:pPr>
      <w:r w:rsidRPr="00AC2FE5">
        <w:rPr>
          <w:rFonts w:cs="Times New Roman"/>
          <w:szCs w:val="20"/>
        </w:rPr>
        <w:t>To investigate how important asset allocation really is, three leading American investment experts performed a comprehensive statistical study to measure the importance of various factors in determining a portfolio</w:t>
      </w:r>
      <w:r w:rsidR="00232C8D">
        <w:rPr>
          <w:rFonts w:cs="Times New Roman"/>
          <w:szCs w:val="20"/>
        </w:rPr>
        <w:t>’</w:t>
      </w:r>
      <w:r w:rsidRPr="00AC2FE5">
        <w:rPr>
          <w:rFonts w:cs="Times New Roman"/>
          <w:szCs w:val="20"/>
        </w:rPr>
        <w:t>s performance.</w:t>
      </w:r>
      <w:r w:rsidR="00242B13">
        <w:rPr>
          <w:rFonts w:cs="Times New Roman"/>
          <w:szCs w:val="20"/>
        </w:rPr>
        <w:t xml:space="preserve"> </w:t>
      </w:r>
      <w:r w:rsidRPr="00AC2FE5">
        <w:rPr>
          <w:rFonts w:cs="Times New Roman"/>
          <w:szCs w:val="20"/>
        </w:rPr>
        <w:t>They studied the results of 91 major corporate pension plans over a ten-year period which included both good and bad markets. Their conclusion was that, on average, 94 percent of the variability in returns could be explained by the plans</w:t>
      </w:r>
      <w:r w:rsidR="00232C8D">
        <w:rPr>
          <w:rFonts w:cs="Times New Roman"/>
          <w:szCs w:val="20"/>
        </w:rPr>
        <w:t>’</w:t>
      </w:r>
      <w:r w:rsidRPr="00AC2FE5">
        <w:rPr>
          <w:rFonts w:cs="Times New Roman"/>
          <w:szCs w:val="20"/>
        </w:rPr>
        <w:t xml:space="preserve"> long-term asset class policy (see chart below). The remainder was attributable to individual security selection (4 percent) and market timing (2 percent).</w:t>
      </w:r>
      <w:r w:rsidRPr="00AC2FE5">
        <w:rPr>
          <w:rStyle w:val="FootnoteReference"/>
          <w:rFonts w:cs="Times New Roman"/>
          <w:szCs w:val="20"/>
        </w:rPr>
        <w:footnoteReference w:id="5"/>
      </w:r>
      <w:r w:rsidRPr="00AC2FE5">
        <w:rPr>
          <w:rFonts w:cs="Times New Roman"/>
          <w:szCs w:val="20"/>
        </w:rPr>
        <w:t xml:space="preserve"> However, even though security selection and market timing explained 6 percent of the variability of returns, the overall contribution to performance was negative.</w:t>
      </w:r>
      <w:r w:rsidR="00242B13">
        <w:rPr>
          <w:rFonts w:cs="Times New Roman"/>
          <w:szCs w:val="20"/>
        </w:rPr>
        <w:t xml:space="preserve"> </w:t>
      </w:r>
      <w:r w:rsidRPr="00AC2FE5">
        <w:rPr>
          <w:rFonts w:cs="Times New Roman"/>
          <w:szCs w:val="20"/>
        </w:rPr>
        <w:t>The average plan lost 0.66 per</w:t>
      </w:r>
      <w:r w:rsidR="000F26D5">
        <w:rPr>
          <w:rFonts w:cs="Times New Roman"/>
          <w:szCs w:val="20"/>
        </w:rPr>
        <w:t>cent per</w:t>
      </w:r>
      <w:r w:rsidRPr="00AC2FE5">
        <w:rPr>
          <w:rFonts w:cs="Times New Roman"/>
          <w:szCs w:val="20"/>
        </w:rPr>
        <w:t xml:space="preserve"> year from market timing decisions and another 0.36 percent from security selection.</w:t>
      </w:r>
      <w:r w:rsidR="00242B13">
        <w:rPr>
          <w:rFonts w:cs="Times New Roman"/>
          <w:szCs w:val="20"/>
        </w:rPr>
        <w:t xml:space="preserve"> </w:t>
      </w:r>
      <w:r w:rsidRPr="00AC2FE5">
        <w:rPr>
          <w:rFonts w:cs="Times New Roman"/>
          <w:szCs w:val="20"/>
        </w:rPr>
        <w:t xml:space="preserve">The authors conclude: </w:t>
      </w:r>
      <w:r w:rsidR="00232C8D">
        <w:rPr>
          <w:rFonts w:cs="Times New Roman"/>
          <w:szCs w:val="20"/>
        </w:rPr>
        <w:t>“</w:t>
      </w:r>
      <w:r w:rsidRPr="00AC2FE5">
        <w:rPr>
          <w:rFonts w:cs="Times New Roman"/>
          <w:szCs w:val="20"/>
        </w:rPr>
        <w:t>Because of its relative importance, investment policy should be addressed carefully and systematically by investors.</w:t>
      </w:r>
      <w:r w:rsidR="00232C8D">
        <w:rPr>
          <w:rFonts w:cs="Times New Roman"/>
          <w:szCs w:val="20"/>
        </w:rPr>
        <w:t>”</w:t>
      </w:r>
    </w:p>
    <w:p w14:paraId="36E90174" w14:textId="77777777" w:rsidR="006A3690" w:rsidRPr="00AC2FE5" w:rsidRDefault="006A3690">
      <w:pPr>
        <w:rPr>
          <w:rFonts w:cs="Times New Roman"/>
          <w:szCs w:val="20"/>
        </w:rPr>
      </w:pPr>
    </w:p>
    <w:p w14:paraId="2BB19C7A" w14:textId="77777777" w:rsidR="009172AD" w:rsidRPr="00AC2FE5" w:rsidRDefault="009172AD">
      <w:pPr>
        <w:rPr>
          <w:rFonts w:cs="Times New Roman"/>
          <w:szCs w:val="20"/>
        </w:rPr>
      </w:pPr>
    </w:p>
    <w:p w14:paraId="57CCB150" w14:textId="77777777" w:rsidR="009172AD" w:rsidRPr="00AC2FE5" w:rsidRDefault="009172AD">
      <w:pPr>
        <w:pBdr>
          <w:top w:val="single" w:sz="6" w:space="1" w:color="auto"/>
          <w:left w:val="single" w:sz="6" w:space="4" w:color="auto"/>
          <w:bottom w:val="single" w:sz="6" w:space="1" w:color="auto"/>
          <w:right w:val="single" w:sz="6" w:space="4" w:color="auto"/>
        </w:pBdr>
        <w:jc w:val="center"/>
        <w:rPr>
          <w:rFonts w:cs="Times New Roman"/>
          <w:szCs w:val="20"/>
        </w:rPr>
      </w:pPr>
      <w:r w:rsidRPr="00AC2FE5">
        <w:rPr>
          <w:rFonts w:cs="Times New Roman"/>
          <w:b/>
          <w:bCs/>
          <w:szCs w:val="20"/>
        </w:rPr>
        <w:lastRenderedPageBreak/>
        <w:t>Determinants of Investment Portfolio Performance</w:t>
      </w:r>
    </w:p>
    <w:p w14:paraId="62BB1E5B" w14:textId="77777777" w:rsidR="009172AD" w:rsidRPr="000D733A" w:rsidRDefault="009172AD">
      <w:pPr>
        <w:jc w:val="center"/>
        <w:rPr>
          <w:sz w:val="8"/>
          <w:szCs w:val="8"/>
        </w:rPr>
      </w:pPr>
    </w:p>
    <w:p w14:paraId="3F887029" w14:textId="77777777" w:rsidR="009172AD" w:rsidRPr="00AC2FE5" w:rsidRDefault="00132B81">
      <w:pPr>
        <w:jc w:val="center"/>
        <w:rPr>
          <w:rFonts w:cs="Times New Roman"/>
          <w:szCs w:val="20"/>
        </w:rPr>
      </w:pPr>
      <w:r>
        <w:rPr>
          <w:noProof/>
        </w:rPr>
        <w:pict w14:anchorId="2FA64325">
          <v:shape id="Picture 8" o:spid="_x0000_i1026" type="#_x0000_t75" style="width:361.8pt;height:199.2pt;visibility:visible">
            <v:imagedata r:id="rId12" o:title=""/>
          </v:shape>
        </w:pict>
      </w:r>
    </w:p>
    <w:p w14:paraId="7043AC55" w14:textId="77777777" w:rsidR="004E6969" w:rsidRPr="004E6969" w:rsidRDefault="004E6969" w:rsidP="004E6969">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6F37381B" w14:textId="0B13785A" w:rsidR="009172AD" w:rsidRDefault="009172AD" w:rsidP="006428C3"/>
    <w:p w14:paraId="04FCD8F5" w14:textId="77777777" w:rsidR="00874F04" w:rsidRDefault="00874F04" w:rsidP="006428C3"/>
    <w:p w14:paraId="34704E22" w14:textId="77777777" w:rsidR="009172AD" w:rsidRDefault="009172AD">
      <w:pPr>
        <w:rPr>
          <w:rFonts w:cs="Times New Roman"/>
          <w:szCs w:val="20"/>
        </w:rPr>
      </w:pPr>
      <w:r w:rsidRPr="00AC2FE5">
        <w:rPr>
          <w:rFonts w:cs="Times New Roman"/>
          <w:szCs w:val="20"/>
        </w:rPr>
        <w:t>We thus see the importance of investing for the long term, regardless of the management style.</w:t>
      </w:r>
      <w:r w:rsidR="005A72F9">
        <w:rPr>
          <w:rFonts w:cs="Times New Roman"/>
          <w:szCs w:val="20"/>
        </w:rPr>
        <w:t xml:space="preserve"> </w:t>
      </w:r>
      <w:r w:rsidRPr="00AC2FE5">
        <w:rPr>
          <w:rFonts w:cs="Times New Roman"/>
          <w:szCs w:val="20"/>
        </w:rPr>
        <w:t>This is true because an investment plan</w:t>
      </w:r>
      <w:r w:rsidR="00232C8D">
        <w:rPr>
          <w:rFonts w:cs="Times New Roman"/>
          <w:szCs w:val="20"/>
        </w:rPr>
        <w:t>’</w:t>
      </w:r>
      <w:r w:rsidRPr="00AC2FE5">
        <w:rPr>
          <w:rFonts w:cs="Times New Roman"/>
          <w:szCs w:val="20"/>
        </w:rPr>
        <w:t>s success cannot be fully realized until the underlying portfolio has gone through the various economic and market cycles that will be experienced over a long period, such as ten years.</w:t>
      </w:r>
    </w:p>
    <w:p w14:paraId="53723E99" w14:textId="77777777" w:rsidR="001B7D01" w:rsidRPr="00AC2FE5" w:rsidRDefault="001B7D01">
      <w:pPr>
        <w:rPr>
          <w:rFonts w:cs="Times New Roman"/>
          <w:szCs w:val="20"/>
        </w:rPr>
      </w:pPr>
    </w:p>
    <w:p w14:paraId="60D86206" w14:textId="77777777" w:rsidR="009172AD" w:rsidRPr="00AC2FE5" w:rsidRDefault="009172AD" w:rsidP="009172AD">
      <w:pPr>
        <w:pStyle w:val="Heading3"/>
      </w:pPr>
      <w:r w:rsidRPr="00AC2FE5">
        <w:t>Equities vs. Fixed Income</w:t>
      </w:r>
    </w:p>
    <w:p w14:paraId="68357657" w14:textId="77777777" w:rsidR="009172AD" w:rsidRPr="00AC2FE5" w:rsidRDefault="009172AD">
      <w:pPr>
        <w:rPr>
          <w:rFonts w:cs="Times New Roman"/>
          <w:szCs w:val="20"/>
        </w:rPr>
      </w:pPr>
    </w:p>
    <w:p w14:paraId="6609D29A" w14:textId="77777777" w:rsidR="009172AD" w:rsidRPr="00AC2FE5" w:rsidRDefault="009172AD">
      <w:pPr>
        <w:rPr>
          <w:rFonts w:cs="Times New Roman"/>
          <w:szCs w:val="20"/>
        </w:rPr>
      </w:pPr>
      <w:r w:rsidRPr="00AC2FE5">
        <w:rPr>
          <w:rFonts w:cs="Times New Roman"/>
          <w:szCs w:val="20"/>
        </w:rPr>
        <w:t>The most basic asset allocation choice is between equities and fixed-income investments.</w:t>
      </w:r>
      <w:r w:rsidR="00242B13">
        <w:rPr>
          <w:rFonts w:cs="Times New Roman"/>
          <w:szCs w:val="20"/>
        </w:rPr>
        <w:t xml:space="preserve"> </w:t>
      </w:r>
      <w:r w:rsidRPr="00AC2FE5">
        <w:rPr>
          <w:rFonts w:cs="Times New Roman"/>
          <w:szCs w:val="20"/>
        </w:rPr>
        <w:t>Equities represent participation in the long-term growth of companies and of the economy, while fixed-income investments represent fixed obligations of governments and corporations.</w:t>
      </w:r>
      <w:r w:rsidR="00242B13">
        <w:rPr>
          <w:rFonts w:cs="Times New Roman"/>
          <w:szCs w:val="20"/>
        </w:rPr>
        <w:t xml:space="preserve"> </w:t>
      </w:r>
      <w:r w:rsidRPr="00AC2FE5">
        <w:rPr>
          <w:rFonts w:cs="Times New Roman"/>
          <w:szCs w:val="20"/>
        </w:rPr>
        <w:t xml:space="preserve">It seems natural, then, that equities should offer superior long-term growth potential, while fixed-income investments offer more stability. The choice of allocation between equities and fixed income is a clear example of the basic investment </w:t>
      </w:r>
      <w:r w:rsidR="00585D11" w:rsidRPr="00AC2FE5">
        <w:rPr>
          <w:rFonts w:cs="Times New Roman"/>
          <w:szCs w:val="20"/>
        </w:rPr>
        <w:t>tradeoff</w:t>
      </w:r>
      <w:r w:rsidRPr="00AC2FE5">
        <w:rPr>
          <w:rFonts w:cs="Times New Roman"/>
          <w:szCs w:val="20"/>
        </w:rPr>
        <w:t xml:space="preserve"> between risk and return. </w:t>
      </w:r>
    </w:p>
    <w:p w14:paraId="21E14679" w14:textId="77777777" w:rsidR="009172AD" w:rsidRPr="00AC2FE5" w:rsidRDefault="009172AD">
      <w:pPr>
        <w:rPr>
          <w:rFonts w:cs="Times New Roman"/>
          <w:szCs w:val="20"/>
        </w:rPr>
      </w:pPr>
    </w:p>
    <w:p w14:paraId="5A595258" w14:textId="77777777" w:rsidR="009172AD" w:rsidRPr="00AC2FE5" w:rsidRDefault="009172AD">
      <w:pPr>
        <w:rPr>
          <w:rFonts w:cs="Times New Roman"/>
          <w:szCs w:val="20"/>
        </w:rPr>
      </w:pPr>
      <w:r w:rsidRPr="00AC2FE5">
        <w:rPr>
          <w:rFonts w:cs="Times New Roman"/>
          <w:szCs w:val="20"/>
        </w:rPr>
        <w:t>In exploring asset classes, we begin with the historical performance of investment categories. This is not to say that the past indicates future performance; however, it does indicate reasonable relationships between various asset classes.</w:t>
      </w:r>
    </w:p>
    <w:p w14:paraId="2FB8D143" w14:textId="77777777" w:rsidR="007F1417" w:rsidRDefault="007F1417">
      <w:pPr>
        <w:rPr>
          <w:rFonts w:cs="Times New Roman"/>
          <w:szCs w:val="20"/>
        </w:rPr>
      </w:pPr>
    </w:p>
    <w:p w14:paraId="6040C244" w14:textId="65F1EC90" w:rsidR="009172AD" w:rsidRDefault="009172AD">
      <w:pPr>
        <w:rPr>
          <w:rFonts w:cs="Times New Roman"/>
          <w:szCs w:val="20"/>
        </w:rPr>
      </w:pPr>
      <w:r w:rsidRPr="00077EC5">
        <w:rPr>
          <w:rFonts w:cs="Times New Roman"/>
          <w:szCs w:val="20"/>
        </w:rPr>
        <w:t>By referring to the graph below, you can see that historically, equities have far outperformed fixed-income securities.</w:t>
      </w:r>
      <w:r w:rsidR="005A72F9" w:rsidRPr="00077EC5">
        <w:rPr>
          <w:rFonts w:cs="Times New Roman"/>
          <w:szCs w:val="20"/>
        </w:rPr>
        <w:t xml:space="preserve"> </w:t>
      </w:r>
      <w:r w:rsidRPr="00077EC5">
        <w:rPr>
          <w:rFonts w:cs="Times New Roman"/>
          <w:szCs w:val="20"/>
        </w:rPr>
        <w:t xml:space="preserve">For example, one dollar invested in </w:t>
      </w:r>
      <w:r w:rsidR="001B7D01" w:rsidRPr="00077EC5">
        <w:rPr>
          <w:rFonts w:cs="Times New Roman"/>
          <w:szCs w:val="20"/>
        </w:rPr>
        <w:t xml:space="preserve">large cap </w:t>
      </w:r>
      <w:r w:rsidRPr="00077EC5">
        <w:rPr>
          <w:rFonts w:cs="Times New Roman"/>
          <w:szCs w:val="20"/>
        </w:rPr>
        <w:t xml:space="preserve">stocks </w:t>
      </w:r>
      <w:r w:rsidR="000D733A" w:rsidRPr="00077EC5">
        <w:rPr>
          <w:rFonts w:cs="Times New Roman"/>
          <w:szCs w:val="20"/>
        </w:rPr>
        <w:t xml:space="preserve">(as represented by the S&amp;P 500 Index) </w:t>
      </w:r>
      <w:r w:rsidRPr="00077EC5">
        <w:rPr>
          <w:rFonts w:cs="Times New Roman"/>
          <w:szCs w:val="20"/>
        </w:rPr>
        <w:t xml:space="preserve">at the beginning </w:t>
      </w:r>
      <w:r w:rsidR="00865A48" w:rsidRPr="00077EC5">
        <w:rPr>
          <w:rFonts w:cs="Times New Roman"/>
          <w:szCs w:val="20"/>
        </w:rPr>
        <w:t>of 1926 would have been worth $</w:t>
      </w:r>
      <w:r w:rsidR="00077EC5" w:rsidRPr="00077EC5">
        <w:rPr>
          <w:rFonts w:cs="Times New Roman"/>
          <w:szCs w:val="20"/>
        </w:rPr>
        <w:t>9,237</w:t>
      </w:r>
      <w:r w:rsidRPr="00077EC5">
        <w:rPr>
          <w:rFonts w:cs="Times New Roman"/>
          <w:szCs w:val="20"/>
        </w:rPr>
        <w:t xml:space="preserve"> (assuming reinvestment of dividends) by the end of </w:t>
      </w:r>
      <w:r w:rsidR="00394F28" w:rsidRPr="00077EC5">
        <w:rPr>
          <w:rFonts w:cs="Times New Roman"/>
          <w:szCs w:val="20"/>
        </w:rPr>
        <w:t>201</w:t>
      </w:r>
      <w:r w:rsidR="00077EC5" w:rsidRPr="00077EC5">
        <w:rPr>
          <w:rFonts w:cs="Times New Roman"/>
          <w:szCs w:val="20"/>
        </w:rPr>
        <w:t>9</w:t>
      </w:r>
      <w:r w:rsidR="000D733A" w:rsidRPr="00077EC5">
        <w:rPr>
          <w:rFonts w:cs="Times New Roman"/>
          <w:szCs w:val="20"/>
        </w:rPr>
        <w:t xml:space="preserve">, while an investment in small company </w:t>
      </w:r>
      <w:r w:rsidR="00EA0EC4" w:rsidRPr="00077EC5">
        <w:rPr>
          <w:rFonts w:cs="Times New Roman"/>
          <w:szCs w:val="20"/>
        </w:rPr>
        <w:t xml:space="preserve">stocks would have </w:t>
      </w:r>
      <w:r w:rsidR="001031B7" w:rsidRPr="00077EC5">
        <w:rPr>
          <w:rFonts w:cs="Times New Roman"/>
          <w:szCs w:val="20"/>
        </w:rPr>
        <w:t>been worth $2</w:t>
      </w:r>
      <w:r w:rsidR="00077EC5" w:rsidRPr="00077EC5">
        <w:rPr>
          <w:rFonts w:cs="Times New Roman"/>
          <w:szCs w:val="20"/>
        </w:rPr>
        <w:t>5,617</w:t>
      </w:r>
      <w:r w:rsidR="000D733A" w:rsidRPr="00077EC5">
        <w:rPr>
          <w:rFonts w:cs="Times New Roman"/>
          <w:szCs w:val="20"/>
        </w:rPr>
        <w:t>.</w:t>
      </w:r>
      <w:r w:rsidR="00865A48" w:rsidRPr="00077EC5">
        <w:rPr>
          <w:rFonts w:cs="Times New Roman"/>
          <w:szCs w:val="20"/>
        </w:rPr>
        <w:t xml:space="preserve"> </w:t>
      </w:r>
      <w:r w:rsidRPr="00077EC5">
        <w:rPr>
          <w:rFonts w:cs="Times New Roman"/>
          <w:szCs w:val="20"/>
        </w:rPr>
        <w:t xml:space="preserve">Fixed-income vehicles have trouble even keeping pace with inflation. That same dollar invested in </w:t>
      </w:r>
      <w:r w:rsidR="001B7D01" w:rsidRPr="00077EC5">
        <w:rPr>
          <w:rFonts w:cs="Times New Roman"/>
          <w:szCs w:val="20"/>
        </w:rPr>
        <w:t xml:space="preserve">long-term </w:t>
      </w:r>
      <w:r w:rsidRPr="00077EC5">
        <w:rPr>
          <w:rFonts w:cs="Times New Roman"/>
          <w:szCs w:val="20"/>
        </w:rPr>
        <w:t>U.S. government bonds would have been worth $</w:t>
      </w:r>
      <w:r w:rsidR="00F83A22" w:rsidRPr="00077EC5">
        <w:rPr>
          <w:rFonts w:cs="Times New Roman"/>
          <w:szCs w:val="20"/>
        </w:rPr>
        <w:t>1</w:t>
      </w:r>
      <w:r w:rsidR="00077EC5" w:rsidRPr="00077EC5">
        <w:rPr>
          <w:rFonts w:cs="Times New Roman"/>
          <w:szCs w:val="20"/>
        </w:rPr>
        <w:t>75</w:t>
      </w:r>
      <w:r w:rsidRPr="00077EC5">
        <w:rPr>
          <w:rFonts w:cs="Times New Roman"/>
          <w:szCs w:val="20"/>
        </w:rPr>
        <w:t>.</w:t>
      </w:r>
      <w:r w:rsidR="005A72F9" w:rsidRPr="00077EC5">
        <w:rPr>
          <w:rFonts w:cs="Times New Roman"/>
          <w:szCs w:val="20"/>
        </w:rPr>
        <w:t xml:space="preserve"> </w:t>
      </w:r>
      <w:r w:rsidRPr="00077EC5">
        <w:rPr>
          <w:rFonts w:cs="Times New Roman"/>
          <w:szCs w:val="20"/>
        </w:rPr>
        <w:t>If invested in 30-day U.S. Treasury Bills, this dollar would have been worth $2</w:t>
      </w:r>
      <w:r w:rsidR="001B7D01" w:rsidRPr="00077EC5">
        <w:rPr>
          <w:rFonts w:cs="Times New Roman"/>
          <w:szCs w:val="20"/>
        </w:rPr>
        <w:t>1</w:t>
      </w:r>
      <w:r w:rsidRPr="00077EC5">
        <w:rPr>
          <w:rFonts w:cs="Times New Roman"/>
          <w:szCs w:val="20"/>
        </w:rPr>
        <w:t>. Simply to maintain purchasing power (to stay even with inflation)</w:t>
      </w:r>
      <w:r w:rsidR="000D733A" w:rsidRPr="00077EC5">
        <w:rPr>
          <w:rFonts w:cs="Times New Roman"/>
          <w:szCs w:val="20"/>
        </w:rPr>
        <w:t>,</w:t>
      </w:r>
      <w:r w:rsidRPr="00077EC5">
        <w:rPr>
          <w:rFonts w:cs="Times New Roman"/>
          <w:szCs w:val="20"/>
        </w:rPr>
        <w:t xml:space="preserve"> an investor over this period would have requ</w:t>
      </w:r>
      <w:r w:rsidR="00203B93" w:rsidRPr="00077EC5">
        <w:rPr>
          <w:rFonts w:cs="Times New Roman"/>
          <w:szCs w:val="20"/>
        </w:rPr>
        <w:t>ired an increase in value to $1</w:t>
      </w:r>
      <w:r w:rsidR="00627037" w:rsidRPr="00077EC5">
        <w:rPr>
          <w:rFonts w:cs="Times New Roman"/>
          <w:szCs w:val="20"/>
        </w:rPr>
        <w:t>4</w:t>
      </w:r>
      <w:r w:rsidRPr="00077EC5">
        <w:rPr>
          <w:rFonts w:cs="Times New Roman"/>
          <w:szCs w:val="20"/>
        </w:rPr>
        <w:t>.</w:t>
      </w:r>
      <w:r w:rsidRPr="00077EC5">
        <w:rPr>
          <w:rStyle w:val="FootnoteReference"/>
          <w:rFonts w:cs="Times New Roman"/>
          <w:szCs w:val="20"/>
        </w:rPr>
        <w:footnoteReference w:id="6"/>
      </w:r>
    </w:p>
    <w:p w14:paraId="0AE9786E" w14:textId="39BDD526" w:rsidR="006A3690" w:rsidRDefault="006A3690">
      <w:pPr>
        <w:rPr>
          <w:rFonts w:cs="Times New Roman"/>
          <w:szCs w:val="20"/>
        </w:rPr>
      </w:pPr>
    </w:p>
    <w:p w14:paraId="42A6EDB1" w14:textId="18F985CE" w:rsidR="006A3690" w:rsidRDefault="006A3690">
      <w:pPr>
        <w:rPr>
          <w:rFonts w:cs="Times New Roman"/>
          <w:szCs w:val="20"/>
        </w:rPr>
      </w:pPr>
    </w:p>
    <w:p w14:paraId="378EF5E5" w14:textId="3507F7CF" w:rsidR="006A3690" w:rsidRDefault="006A3690">
      <w:pPr>
        <w:rPr>
          <w:rFonts w:cs="Times New Roman"/>
          <w:szCs w:val="20"/>
        </w:rPr>
      </w:pPr>
    </w:p>
    <w:p w14:paraId="0DBA9A91" w14:textId="4AC86266" w:rsidR="00107E4E" w:rsidRDefault="00107E4E">
      <w:pPr>
        <w:rPr>
          <w:rFonts w:cs="Times New Roman"/>
          <w:szCs w:val="20"/>
        </w:rPr>
      </w:pPr>
    </w:p>
    <w:p w14:paraId="0473C5F7" w14:textId="687E3F36" w:rsidR="00107E4E" w:rsidRDefault="00107E4E">
      <w:pPr>
        <w:rPr>
          <w:rFonts w:cs="Times New Roman"/>
          <w:szCs w:val="20"/>
        </w:rPr>
      </w:pPr>
    </w:p>
    <w:p w14:paraId="4E4BFA72" w14:textId="77777777" w:rsidR="00107E4E" w:rsidRDefault="00107E4E">
      <w:pPr>
        <w:rPr>
          <w:rFonts w:cs="Times New Roman"/>
          <w:szCs w:val="20"/>
        </w:rPr>
      </w:pPr>
    </w:p>
    <w:p w14:paraId="01BD6FC1" w14:textId="77777777" w:rsidR="009172AD" w:rsidRPr="00865A48" w:rsidRDefault="009172AD" w:rsidP="003F5F51">
      <w:pPr>
        <w:pBdr>
          <w:top w:val="single" w:sz="6" w:space="1" w:color="auto"/>
          <w:left w:val="single" w:sz="6" w:space="4" w:color="auto"/>
          <w:bottom w:val="single" w:sz="6" w:space="1" w:color="auto"/>
          <w:right w:val="single" w:sz="6" w:space="4" w:color="auto"/>
        </w:pBdr>
        <w:jc w:val="center"/>
        <w:rPr>
          <w:rFonts w:cs="Times New Roman"/>
          <w:b/>
          <w:bCs/>
          <w:szCs w:val="20"/>
        </w:rPr>
      </w:pPr>
      <w:r w:rsidRPr="00865A48">
        <w:rPr>
          <w:rFonts w:cs="Times New Roman"/>
          <w:b/>
          <w:bCs/>
          <w:szCs w:val="20"/>
        </w:rPr>
        <w:lastRenderedPageBreak/>
        <w:t>Stocks, Bonds, Bills and Inflation</w:t>
      </w:r>
    </w:p>
    <w:p w14:paraId="5B74E926" w14:textId="7CF7744D" w:rsidR="009172AD" w:rsidRPr="00AC2FE5" w:rsidRDefault="00A45A32" w:rsidP="003F5F51">
      <w:pPr>
        <w:keepLines/>
        <w:pBdr>
          <w:top w:val="single" w:sz="6" w:space="1" w:color="auto"/>
          <w:left w:val="single" w:sz="6" w:space="4" w:color="auto"/>
          <w:bottom w:val="single" w:sz="6" w:space="1" w:color="auto"/>
          <w:right w:val="single" w:sz="6" w:space="4" w:color="auto"/>
        </w:pBdr>
        <w:jc w:val="center"/>
        <w:rPr>
          <w:rFonts w:cs="Times New Roman"/>
          <w:b/>
          <w:bCs/>
          <w:sz w:val="18"/>
          <w:szCs w:val="18"/>
        </w:rPr>
      </w:pPr>
      <w:r>
        <w:rPr>
          <w:rFonts w:cs="Times New Roman"/>
          <w:b/>
          <w:bCs/>
          <w:sz w:val="18"/>
          <w:szCs w:val="18"/>
        </w:rPr>
        <w:t>January 1926</w:t>
      </w:r>
      <w:r w:rsidR="005A72F9">
        <w:rPr>
          <w:rFonts w:ascii="Calibri" w:hAnsi="Calibri" w:cs="Times New Roman"/>
          <w:b/>
          <w:bCs/>
          <w:sz w:val="18"/>
          <w:szCs w:val="18"/>
        </w:rPr>
        <w:t>–</w:t>
      </w:r>
      <w:r>
        <w:rPr>
          <w:rFonts w:cs="Times New Roman"/>
          <w:b/>
          <w:bCs/>
          <w:sz w:val="18"/>
          <w:szCs w:val="18"/>
        </w:rPr>
        <w:t>December 201</w:t>
      </w:r>
      <w:r w:rsidR="00107E4E">
        <w:rPr>
          <w:rFonts w:cs="Times New Roman"/>
          <w:b/>
          <w:bCs/>
          <w:sz w:val="18"/>
          <w:szCs w:val="18"/>
        </w:rPr>
        <w:t>9</w:t>
      </w:r>
    </w:p>
    <w:p w14:paraId="2F212CD3" w14:textId="77777777" w:rsidR="003F5F51" w:rsidRPr="003F5F51" w:rsidRDefault="003F5F51" w:rsidP="005B105A">
      <w:pPr>
        <w:rPr>
          <w:noProof/>
          <w:sz w:val="8"/>
          <w:szCs w:val="8"/>
        </w:rPr>
      </w:pPr>
    </w:p>
    <w:p w14:paraId="26C17937" w14:textId="36B44448" w:rsidR="00E668B7" w:rsidRDefault="00077EC5" w:rsidP="003F5F51">
      <w:pPr>
        <w:jc w:val="center"/>
      </w:pPr>
      <w:r w:rsidRPr="00574506">
        <w:rPr>
          <w:noProof/>
        </w:rPr>
        <w:pict w14:anchorId="2BA010E1">
          <v:shape id="Picture 1" o:spid="_x0000_i1046" type="#_x0000_t75" style="width:468pt;height:299.4pt;visibility:visible;mso-wrap-style:square">
            <v:imagedata r:id="rId13" o:title=""/>
          </v:shape>
        </w:pict>
      </w:r>
      <w:r>
        <w:rPr>
          <w:noProof/>
        </w:rPr>
        <w:pict w14:anchorId="50C61356">
          <v:line id="Straight Connector 24" o:spid="_x0000_s1036" style="position:absolute;left:0;text-align:left;z-index:1;visibility:visible;mso-wrap-distance-top:-3e-5mm;mso-wrap-distance-bottom:-3e-5mm;mso-position-horizontal-relative:text;mso-position-vertical-relative:text" from="67.2pt,127.3pt" to="79.2pt,1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" filled="t" fillcolor="#4f81bd" strokecolor="#a6a6a6" strokeweight="3pt">
            <o:lock v:ext="edit" shapetype="f"/>
          </v:line>
        </w:pict>
      </w:r>
    </w:p>
    <w:p w14:paraId="6753EF4C" w14:textId="77777777" w:rsidR="00251FDA" w:rsidRPr="004E6969" w:rsidRDefault="00251FDA" w:rsidP="00251FDA">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1A1018EB" w14:textId="731BF4AF" w:rsidR="00203B93" w:rsidRDefault="00203B93">
      <w:pPr>
        <w:rPr>
          <w:rFonts w:cs="Times New Roman"/>
          <w:szCs w:val="20"/>
        </w:rPr>
      </w:pPr>
    </w:p>
    <w:p w14:paraId="1286DAEF" w14:textId="77777777" w:rsidR="00874F04" w:rsidRDefault="00874F04">
      <w:pPr>
        <w:rPr>
          <w:rFonts w:cs="Times New Roman"/>
          <w:szCs w:val="20"/>
        </w:rPr>
      </w:pPr>
    </w:p>
    <w:p w14:paraId="7698AED5" w14:textId="77777777" w:rsidR="009172AD" w:rsidRDefault="009172AD">
      <w:pPr>
        <w:rPr>
          <w:rFonts w:cs="Times New Roman"/>
          <w:szCs w:val="20"/>
        </w:rPr>
      </w:pPr>
      <w:r w:rsidRPr="00AC2FE5">
        <w:rPr>
          <w:rFonts w:cs="Times New Roman"/>
          <w:szCs w:val="20"/>
        </w:rPr>
        <w:t xml:space="preserve">Modern Portfolio Theory, which we will discuss in more depth later, would suggest that investments in equities would be likely to continue to produce higher returns than those in fixed income, given the higher risks inherent in equity markets. These risks are primarily due to the cyclical swings of the stock markets. </w:t>
      </w:r>
    </w:p>
    <w:p w14:paraId="5A781BCF" w14:textId="77777777" w:rsidR="009172AD" w:rsidRDefault="009172AD">
      <w:pPr>
        <w:rPr>
          <w:rFonts w:cs="Times New Roman"/>
          <w:szCs w:val="20"/>
        </w:rPr>
      </w:pPr>
    </w:p>
    <w:p w14:paraId="4CCFCCE9" w14:textId="77777777" w:rsidR="009172AD" w:rsidRPr="00AC2FE5" w:rsidRDefault="009172AD">
      <w:pPr>
        <w:rPr>
          <w:rFonts w:cs="Times New Roman"/>
          <w:szCs w:val="20"/>
        </w:rPr>
      </w:pPr>
      <w:r w:rsidRPr="00AC2FE5">
        <w:rPr>
          <w:rFonts w:cs="Times New Roman"/>
          <w:szCs w:val="20"/>
        </w:rPr>
        <w:t>These cyclical swings are of greatest concern to those who will have to liquidate their investments in the near future.</w:t>
      </w:r>
      <w:r w:rsidR="005A72F9">
        <w:rPr>
          <w:rFonts w:cs="Times New Roman"/>
          <w:szCs w:val="20"/>
        </w:rPr>
        <w:t xml:space="preserve"> </w:t>
      </w:r>
      <w:r w:rsidR="00242B13">
        <w:rPr>
          <w:rFonts w:cs="Times New Roman"/>
          <w:szCs w:val="20"/>
        </w:rPr>
        <w:t>Typically, the longer one</w:t>
      </w:r>
      <w:r w:rsidR="00232C8D">
        <w:rPr>
          <w:rFonts w:cs="Times New Roman"/>
          <w:szCs w:val="20"/>
        </w:rPr>
        <w:t>’</w:t>
      </w:r>
      <w:r w:rsidR="00242B13">
        <w:rPr>
          <w:rFonts w:cs="Times New Roman"/>
          <w:szCs w:val="20"/>
        </w:rPr>
        <w:t>s investment horizon, the more prudent it is to</w:t>
      </w:r>
      <w:r w:rsidRPr="00AC2FE5">
        <w:rPr>
          <w:rFonts w:cs="Times New Roman"/>
          <w:szCs w:val="20"/>
        </w:rPr>
        <w:t xml:space="preserve"> attempt to achieve a higher rate of return by investing a large</w:t>
      </w:r>
      <w:r w:rsidR="00242B13">
        <w:rPr>
          <w:rFonts w:cs="Times New Roman"/>
          <w:szCs w:val="20"/>
        </w:rPr>
        <w:t>r</w:t>
      </w:r>
      <w:r w:rsidRPr="00AC2FE5">
        <w:rPr>
          <w:rFonts w:cs="Times New Roman"/>
          <w:szCs w:val="20"/>
        </w:rPr>
        <w:t xml:space="preserve"> portion of your portfolio</w:t>
      </w:r>
      <w:r w:rsidR="00232C8D">
        <w:rPr>
          <w:rFonts w:cs="Times New Roman"/>
          <w:szCs w:val="20"/>
        </w:rPr>
        <w:t>’</w:t>
      </w:r>
      <w:r w:rsidRPr="00AC2FE5">
        <w:rPr>
          <w:rFonts w:cs="Times New Roman"/>
          <w:szCs w:val="20"/>
        </w:rPr>
        <w:t xml:space="preserve">s assets in equities. </w:t>
      </w:r>
    </w:p>
    <w:p w14:paraId="5AF4D205" w14:textId="77777777" w:rsidR="009172AD" w:rsidRPr="00AC2FE5" w:rsidRDefault="009172AD">
      <w:pPr>
        <w:rPr>
          <w:rFonts w:cs="Times New Roman"/>
          <w:szCs w:val="20"/>
        </w:rPr>
      </w:pPr>
    </w:p>
    <w:p w14:paraId="7D29FFAD" w14:textId="77777777" w:rsidR="009172AD" w:rsidRPr="00AC2FE5" w:rsidRDefault="009172AD">
      <w:pPr>
        <w:rPr>
          <w:rFonts w:cs="Times New Roman"/>
          <w:szCs w:val="20"/>
        </w:rPr>
      </w:pPr>
      <w:r w:rsidRPr="00AC2FE5">
        <w:rPr>
          <w:rFonts w:cs="Times New Roman"/>
          <w:szCs w:val="20"/>
        </w:rPr>
        <w:t>That said, there is often a place for both equities and fixed-income investments in a prudently-designed portfolio. In a strongly-rising stock market, some investors are tempted to move to an all-equity portfolio in order to capture those gains. However, such a move can result in dramatic swings in the portfolio</w:t>
      </w:r>
      <w:r w:rsidR="00232C8D">
        <w:rPr>
          <w:rFonts w:cs="Times New Roman"/>
          <w:szCs w:val="20"/>
        </w:rPr>
        <w:t>’</w:t>
      </w:r>
      <w:r w:rsidRPr="00AC2FE5">
        <w:rPr>
          <w:rFonts w:cs="Times New Roman"/>
          <w:szCs w:val="20"/>
        </w:rPr>
        <w:t xml:space="preserve">s value, and may leave the portfolio vulnerable to a substantial drop in value once the market has ceased its run-up. </w:t>
      </w:r>
    </w:p>
    <w:p w14:paraId="4F428556" w14:textId="77777777" w:rsidR="009172AD" w:rsidRPr="00AC2FE5" w:rsidRDefault="009172AD">
      <w:pPr>
        <w:rPr>
          <w:rFonts w:cs="Times New Roman"/>
          <w:szCs w:val="20"/>
        </w:rPr>
      </w:pPr>
    </w:p>
    <w:p w14:paraId="460206E3" w14:textId="77777777" w:rsidR="009172AD" w:rsidRPr="00AC2FE5" w:rsidRDefault="009172AD">
      <w:pPr>
        <w:rPr>
          <w:rFonts w:cs="Times New Roman"/>
          <w:szCs w:val="20"/>
        </w:rPr>
      </w:pPr>
      <w:r w:rsidRPr="00AC2FE5">
        <w:rPr>
          <w:rFonts w:cs="Times New Roman"/>
          <w:szCs w:val="20"/>
        </w:rPr>
        <w:t xml:space="preserve">Likewise, other investors, who are near or in retirement, often wish to remain </w:t>
      </w:r>
      <w:r w:rsidR="00232C8D">
        <w:rPr>
          <w:rFonts w:cs="Times New Roman"/>
          <w:szCs w:val="20"/>
        </w:rPr>
        <w:t>“</w:t>
      </w:r>
      <w:r w:rsidRPr="00AC2FE5">
        <w:rPr>
          <w:rFonts w:cs="Times New Roman"/>
          <w:szCs w:val="20"/>
        </w:rPr>
        <w:t>safe</w:t>
      </w:r>
      <w:r w:rsidR="00232C8D">
        <w:rPr>
          <w:rFonts w:cs="Times New Roman"/>
          <w:szCs w:val="20"/>
        </w:rPr>
        <w:t>”</w:t>
      </w:r>
      <w:r w:rsidRPr="00AC2FE5">
        <w:rPr>
          <w:rFonts w:cs="Times New Roman"/>
          <w:szCs w:val="20"/>
        </w:rPr>
        <w:t xml:space="preserve">—to protect themselves from stock market swings—by holding an all-fixed income portfolio. However, as we note below, such a portfolio will tend to achieve returns only approximately equal to the rate of inflation. Without the inflation-beating potential of equities, such a portfolio is subject to a gradual erosion of its value over time. </w:t>
      </w:r>
    </w:p>
    <w:p w14:paraId="56CF19B7" w14:textId="77777777" w:rsidR="009172AD" w:rsidRPr="00AC2FE5" w:rsidRDefault="009172AD">
      <w:pPr>
        <w:rPr>
          <w:rFonts w:cs="Times New Roman"/>
          <w:szCs w:val="20"/>
        </w:rPr>
      </w:pPr>
    </w:p>
    <w:p w14:paraId="621A66DB" w14:textId="77777777" w:rsidR="009172AD" w:rsidRPr="00AC2FE5" w:rsidRDefault="009172AD">
      <w:pPr>
        <w:rPr>
          <w:rFonts w:cs="Times New Roman"/>
          <w:szCs w:val="20"/>
        </w:rPr>
      </w:pPr>
      <w:r w:rsidRPr="00AC2FE5">
        <w:rPr>
          <w:rFonts w:cs="Times New Roman"/>
          <w:szCs w:val="20"/>
        </w:rPr>
        <w:t>The bottom line: Building a prudent portfolio requires careful consideration of the unique characteristics of both equities and fixed income and what each can add to the portfolio.</w:t>
      </w:r>
    </w:p>
    <w:p w14:paraId="29E8D68C" w14:textId="77777777" w:rsidR="000F26D5" w:rsidRDefault="000F26D5">
      <w:pPr>
        <w:rPr>
          <w:rFonts w:cs="Times New Roman"/>
          <w:szCs w:val="20"/>
        </w:rPr>
      </w:pPr>
    </w:p>
    <w:p w14:paraId="647B7D6B" w14:textId="32794F09" w:rsidR="00513479" w:rsidRDefault="00513479">
      <w:pPr>
        <w:rPr>
          <w:rFonts w:cs="Times New Roman"/>
          <w:szCs w:val="20"/>
        </w:rPr>
      </w:pPr>
    </w:p>
    <w:p w14:paraId="72D9C7D6" w14:textId="27D44618" w:rsidR="006A3690" w:rsidRDefault="006A3690">
      <w:pPr>
        <w:rPr>
          <w:rFonts w:cs="Times New Roman"/>
          <w:szCs w:val="20"/>
        </w:rPr>
      </w:pPr>
    </w:p>
    <w:p w14:paraId="7087536D" w14:textId="77777777" w:rsidR="009172AD" w:rsidRPr="00AC2FE5" w:rsidRDefault="009172AD" w:rsidP="009172AD">
      <w:pPr>
        <w:pStyle w:val="Heading3"/>
      </w:pPr>
      <w:r w:rsidRPr="00AC2FE5">
        <w:lastRenderedPageBreak/>
        <w:t>Fixed-Income Investments</w:t>
      </w:r>
    </w:p>
    <w:p w14:paraId="12986979" w14:textId="77777777" w:rsidR="009172AD" w:rsidRPr="00AC2FE5" w:rsidRDefault="009172AD">
      <w:pPr>
        <w:rPr>
          <w:rFonts w:cs="Times New Roman"/>
          <w:szCs w:val="20"/>
        </w:rPr>
      </w:pPr>
    </w:p>
    <w:p w14:paraId="7C12F795" w14:textId="77777777" w:rsidR="009172AD" w:rsidRPr="00AC2FE5" w:rsidRDefault="009172AD">
      <w:pPr>
        <w:rPr>
          <w:rFonts w:cs="Times New Roman"/>
          <w:szCs w:val="20"/>
        </w:rPr>
      </w:pPr>
      <w:r w:rsidRPr="00AC2FE5">
        <w:rPr>
          <w:rFonts w:cs="Times New Roman"/>
          <w:szCs w:val="20"/>
        </w:rPr>
        <w:t>As the long-term returns figures show, an all-equity portfolio has attractive growth potential, but significant uncertainty about the exact outcome. For this reason, we describe an all-equity portfolio as being aggressive. It is most suitable for investors who are willing and need to take substantial risk in the pursuit of reward.</w:t>
      </w:r>
    </w:p>
    <w:p w14:paraId="7EB10AE8" w14:textId="77777777" w:rsidR="009172AD" w:rsidRPr="00AC2FE5" w:rsidRDefault="009172AD">
      <w:pPr>
        <w:rPr>
          <w:rFonts w:cs="Times New Roman"/>
          <w:szCs w:val="20"/>
        </w:rPr>
      </w:pPr>
    </w:p>
    <w:p w14:paraId="68FC692E" w14:textId="77777777" w:rsidR="009172AD" w:rsidRPr="00AC2FE5" w:rsidRDefault="009172AD">
      <w:pPr>
        <w:rPr>
          <w:rFonts w:cs="Times New Roman"/>
          <w:szCs w:val="20"/>
        </w:rPr>
      </w:pPr>
      <w:r w:rsidRPr="00AC2FE5">
        <w:rPr>
          <w:rFonts w:cs="Times New Roman"/>
          <w:szCs w:val="20"/>
        </w:rPr>
        <w:t>Investors with shorter investment horizons, a high level of risk aversion or less need to take risk should maintain portfolios that are significantly less aggressive than the all-equity strategy.</w:t>
      </w:r>
      <w:r w:rsidR="005A72F9">
        <w:rPr>
          <w:rFonts w:cs="Times New Roman"/>
          <w:szCs w:val="20"/>
        </w:rPr>
        <w:t xml:space="preserve"> </w:t>
      </w:r>
      <w:r w:rsidRPr="00AC2FE5">
        <w:rPr>
          <w:rFonts w:cs="Times New Roman"/>
          <w:szCs w:val="20"/>
        </w:rPr>
        <w:t>For these investors, some portion of the portfolio should remain in fixed-income instruments.</w:t>
      </w:r>
      <w:r w:rsidR="00242B13">
        <w:rPr>
          <w:rFonts w:cs="Times New Roman"/>
          <w:szCs w:val="20"/>
        </w:rPr>
        <w:t xml:space="preserve"> </w:t>
      </w:r>
      <w:r w:rsidRPr="00AC2FE5">
        <w:rPr>
          <w:rFonts w:cs="Times New Roman"/>
          <w:szCs w:val="20"/>
        </w:rPr>
        <w:t xml:space="preserve">Bonds provide income and help reduce the overall risk in a portfolio. However, because of the fixed nature of the income stream from a bond, there is comparatively little upside potential in a bond portfolio. Investors are sometimes surprised to learn that bond prices can rise and fall with changes in interest rates, but the main source of investment returns from bonds are the interest payments they make. </w:t>
      </w:r>
    </w:p>
    <w:p w14:paraId="365BF024" w14:textId="77777777" w:rsidR="009172AD" w:rsidRPr="00AC2FE5" w:rsidRDefault="009172AD">
      <w:pPr>
        <w:jc w:val="both"/>
        <w:rPr>
          <w:rFonts w:cs="Times New Roman"/>
          <w:szCs w:val="20"/>
        </w:rPr>
      </w:pPr>
    </w:p>
    <w:p w14:paraId="0018542C" w14:textId="77777777" w:rsidR="009172AD" w:rsidRPr="00AC2FE5" w:rsidRDefault="009172AD">
      <w:pPr>
        <w:rPr>
          <w:rFonts w:cs="Times New Roman"/>
          <w:szCs w:val="20"/>
        </w:rPr>
      </w:pPr>
      <w:r w:rsidRPr="00AC2FE5">
        <w:rPr>
          <w:rFonts w:cs="Times New Roman"/>
          <w:szCs w:val="20"/>
        </w:rPr>
        <w:t>A portion of your portfolio</w:t>
      </w:r>
      <w:r w:rsidR="00232C8D">
        <w:rPr>
          <w:rFonts w:cs="Times New Roman"/>
          <w:szCs w:val="20"/>
        </w:rPr>
        <w:t>’</w:t>
      </w:r>
      <w:r w:rsidRPr="00AC2FE5">
        <w:rPr>
          <w:rFonts w:cs="Times New Roman"/>
          <w:szCs w:val="20"/>
        </w:rPr>
        <w:t>s assets will be invested in high-quality fixed-income investments.</w:t>
      </w:r>
      <w:r w:rsidR="00242B13">
        <w:rPr>
          <w:rFonts w:cs="Times New Roman"/>
          <w:szCs w:val="20"/>
        </w:rPr>
        <w:t xml:space="preserve"> </w:t>
      </w:r>
      <w:r w:rsidRPr="00AC2FE5">
        <w:rPr>
          <w:rFonts w:cs="Times New Roman"/>
          <w:szCs w:val="20"/>
        </w:rPr>
        <w:t>Fixed-income investments will help reduce the overall level of risk in your portfolio, because fixed-income investments tend to be less risky than equities, and because the fixed-income investments represent an additional diversification of your assets.</w:t>
      </w:r>
      <w:r w:rsidR="00967AA4">
        <w:rPr>
          <w:rFonts w:cs="Times New Roman"/>
          <w:szCs w:val="20"/>
        </w:rPr>
        <w:t xml:space="preserve"> </w:t>
      </w:r>
      <w:r w:rsidRPr="00AC2FE5">
        <w:rPr>
          <w:rFonts w:cs="Times New Roman"/>
          <w:szCs w:val="20"/>
        </w:rPr>
        <w:t>Fixed-income instruments should be used to reduce the overall level of risk to your comfort level.</w:t>
      </w:r>
      <w:r w:rsidR="005A72F9">
        <w:rPr>
          <w:rFonts w:cs="Times New Roman"/>
          <w:szCs w:val="20"/>
        </w:rPr>
        <w:t xml:space="preserve"> </w:t>
      </w:r>
      <w:r w:rsidRPr="00AC2FE5">
        <w:rPr>
          <w:rFonts w:cs="Times New Roman"/>
          <w:szCs w:val="20"/>
        </w:rPr>
        <w:t>It is important to note that over the long term, fixed-income investments will typically have returns approximate to inflation.</w:t>
      </w:r>
    </w:p>
    <w:p w14:paraId="4061CD36" w14:textId="77777777" w:rsidR="009172AD" w:rsidRPr="00AC2FE5" w:rsidRDefault="009172AD">
      <w:pPr>
        <w:rPr>
          <w:rFonts w:cs="Times New Roman"/>
          <w:szCs w:val="20"/>
        </w:rPr>
      </w:pPr>
    </w:p>
    <w:p w14:paraId="030A776D" w14:textId="77777777" w:rsidR="009172AD" w:rsidRDefault="009172AD">
      <w:pPr>
        <w:rPr>
          <w:rFonts w:cs="Times New Roman"/>
          <w:szCs w:val="20"/>
        </w:rPr>
      </w:pPr>
      <w:r w:rsidRPr="00AC2FE5">
        <w:rPr>
          <w:rFonts w:cs="Times New Roman"/>
          <w:szCs w:val="20"/>
        </w:rPr>
        <w:t xml:space="preserve">The fixed-income investments for the portfolio will </w:t>
      </w:r>
      <w:r w:rsidR="00967AA4">
        <w:rPr>
          <w:rFonts w:cs="Times New Roman"/>
          <w:szCs w:val="20"/>
        </w:rPr>
        <w:t xml:space="preserve">typically </w:t>
      </w:r>
      <w:r w:rsidRPr="00AC2FE5">
        <w:rPr>
          <w:rFonts w:cs="Times New Roman"/>
          <w:szCs w:val="20"/>
        </w:rPr>
        <w:t>be in either short- or intermediate-term bonds. Research by Eugene Fama at the University of Chicago and other respected academicians has shown that long-term bonds historically have had wide variances in their rates of total return without sufficiently compensating investors with higher expected returns.</w:t>
      </w:r>
      <w:r w:rsidRPr="00AC2FE5">
        <w:rPr>
          <w:rStyle w:val="FootnoteReference"/>
          <w:rFonts w:cs="Times New Roman"/>
          <w:szCs w:val="20"/>
        </w:rPr>
        <w:footnoteReference w:id="7"/>
      </w:r>
      <w:r w:rsidR="005A72F9">
        <w:rPr>
          <w:rFonts w:cs="Times New Roman"/>
          <w:szCs w:val="20"/>
        </w:rPr>
        <w:t xml:space="preserve"> </w:t>
      </w:r>
      <w:r w:rsidRPr="00AC2FE5">
        <w:rPr>
          <w:rFonts w:cs="Times New Roman"/>
          <w:szCs w:val="20"/>
        </w:rPr>
        <w:t xml:space="preserve">In terms of variability </w:t>
      </w:r>
      <w:r w:rsidRPr="001234B2">
        <w:rPr>
          <w:rFonts w:cs="Times New Roman"/>
          <w:szCs w:val="20"/>
        </w:rPr>
        <w:t>of total return, long-term bonds look more like stocks than shorter-term fixed-income vehicles such as Treasury bills.</w:t>
      </w:r>
      <w:r w:rsidR="00967AA4" w:rsidRPr="001234B2">
        <w:rPr>
          <w:rFonts w:cs="Times New Roman"/>
          <w:szCs w:val="20"/>
        </w:rPr>
        <w:t xml:space="preserve"> </w:t>
      </w:r>
      <w:r w:rsidRPr="001234B2">
        <w:rPr>
          <w:rFonts w:cs="Times New Roman"/>
          <w:szCs w:val="20"/>
        </w:rPr>
        <w:t>Yet, over long time periods, their respective total returns have consistently lagged behind those of equities.</w:t>
      </w:r>
      <w:r w:rsidR="005A72F9" w:rsidRPr="001234B2">
        <w:rPr>
          <w:rFonts w:cs="Times New Roman"/>
          <w:szCs w:val="20"/>
        </w:rPr>
        <w:t xml:space="preserve"> </w:t>
      </w:r>
      <w:r w:rsidR="006428C3" w:rsidRPr="001234B2">
        <w:rPr>
          <w:rFonts w:cs="Times New Roman"/>
          <w:szCs w:val="20"/>
        </w:rPr>
        <w:t>T</w:t>
      </w:r>
      <w:r w:rsidRPr="001234B2">
        <w:rPr>
          <w:rFonts w:cs="Times New Roman"/>
          <w:szCs w:val="20"/>
        </w:rPr>
        <w:t xml:space="preserve">he </w:t>
      </w:r>
      <w:r w:rsidR="006428C3" w:rsidRPr="001234B2">
        <w:rPr>
          <w:rFonts w:cs="Times New Roman"/>
          <w:szCs w:val="20"/>
        </w:rPr>
        <w:t>graph below</w:t>
      </w:r>
      <w:r w:rsidRPr="001234B2">
        <w:rPr>
          <w:rFonts w:cs="Times New Roman"/>
          <w:szCs w:val="20"/>
        </w:rPr>
        <w:t xml:space="preserve"> help</w:t>
      </w:r>
      <w:r w:rsidR="006428C3" w:rsidRPr="001234B2">
        <w:rPr>
          <w:rFonts w:cs="Times New Roman"/>
          <w:szCs w:val="20"/>
        </w:rPr>
        <w:t>s</w:t>
      </w:r>
      <w:r w:rsidRPr="001234B2">
        <w:rPr>
          <w:rFonts w:cs="Times New Roman"/>
          <w:szCs w:val="20"/>
        </w:rPr>
        <w:t xml:space="preserve"> illustrate the higher standard deviations (volatility) and lower total returns of bonds with maturities beyond five years.</w:t>
      </w:r>
      <w:r w:rsidRPr="001234B2">
        <w:rPr>
          <w:rStyle w:val="FootnoteReference"/>
          <w:rFonts w:cs="Times New Roman"/>
          <w:szCs w:val="20"/>
        </w:rPr>
        <w:footnoteReference w:id="8"/>
      </w:r>
      <w:r w:rsidRPr="00AC2FE5">
        <w:rPr>
          <w:rFonts w:cs="Times New Roman"/>
          <w:szCs w:val="20"/>
        </w:rPr>
        <w:t xml:space="preserve"> </w:t>
      </w:r>
    </w:p>
    <w:p w14:paraId="43943370" w14:textId="77777777" w:rsidR="001A671E" w:rsidRDefault="001A671E">
      <w:pPr>
        <w:rPr>
          <w:rFonts w:cs="Times New Roman"/>
          <w:szCs w:val="20"/>
        </w:rPr>
      </w:pPr>
    </w:p>
    <w:p w14:paraId="27863B4A" w14:textId="77777777" w:rsidR="006428C3" w:rsidRDefault="006428C3" w:rsidP="006428C3">
      <w:pPr>
        <w:rPr>
          <w:rFonts w:cs="Times New Roman"/>
          <w:szCs w:val="20"/>
        </w:rPr>
      </w:pPr>
      <w:r w:rsidRPr="00AC2FE5">
        <w:rPr>
          <w:rFonts w:cs="Times New Roman"/>
          <w:szCs w:val="20"/>
        </w:rPr>
        <w:t>Our purpose in holding some fixed-income investments is t</w:t>
      </w:r>
      <w:r>
        <w:rPr>
          <w:rFonts w:cs="Times New Roman"/>
          <w:szCs w:val="20"/>
        </w:rPr>
        <w:t>w</w:t>
      </w:r>
      <w:r w:rsidRPr="00AC2FE5">
        <w:rPr>
          <w:rFonts w:cs="Times New Roman"/>
          <w:szCs w:val="20"/>
        </w:rPr>
        <w:t>o</w:t>
      </w:r>
      <w:r>
        <w:rPr>
          <w:rFonts w:cs="Times New Roman"/>
          <w:szCs w:val="20"/>
        </w:rPr>
        <w:t>fold; first, to</w:t>
      </w:r>
      <w:r w:rsidRPr="00AC2FE5">
        <w:rPr>
          <w:rFonts w:cs="Times New Roman"/>
          <w:szCs w:val="20"/>
        </w:rPr>
        <w:t xml:space="preserve"> mitigate the risk (volatility) of your overall portfolio</w:t>
      </w:r>
      <w:r>
        <w:rPr>
          <w:rFonts w:cs="Times New Roman"/>
          <w:szCs w:val="20"/>
        </w:rPr>
        <w:t xml:space="preserve">, and secondly, to generate income through bond yields. </w:t>
      </w:r>
      <w:r w:rsidRPr="00AC2FE5">
        <w:rPr>
          <w:rFonts w:cs="Times New Roman"/>
          <w:szCs w:val="20"/>
        </w:rPr>
        <w:t>Subject to a given level of risk, we believe a combination of equities and high-quality, short- to intermediate-term fixed-income instruments is the most effective way to achieve your objective of maximizing returns. Replacing the traditional long-term bond holding with a combination of equities and short- to intermediate-term fixed-income vehicles should maintain the portfolio</w:t>
      </w:r>
      <w:r>
        <w:rPr>
          <w:rFonts w:cs="Times New Roman"/>
          <w:szCs w:val="20"/>
        </w:rPr>
        <w:t>’</w:t>
      </w:r>
      <w:r w:rsidRPr="00AC2FE5">
        <w:rPr>
          <w:rFonts w:cs="Times New Roman"/>
          <w:szCs w:val="20"/>
        </w:rPr>
        <w:t>s expected rate of return while decreasing its volatility.</w:t>
      </w:r>
    </w:p>
    <w:p w14:paraId="639D4A11" w14:textId="77777777" w:rsidR="006428C3" w:rsidRDefault="006428C3">
      <w:pPr>
        <w:rPr>
          <w:rFonts w:cs="Times New Roman"/>
          <w:szCs w:val="20"/>
        </w:rPr>
      </w:pPr>
    </w:p>
    <w:p w14:paraId="242F5342" w14:textId="77777777" w:rsidR="006428C3" w:rsidRDefault="006428C3">
      <w:pPr>
        <w:rPr>
          <w:rFonts w:cs="Times New Roman"/>
          <w:szCs w:val="20"/>
        </w:rPr>
      </w:pPr>
    </w:p>
    <w:p w14:paraId="4699BFBA" w14:textId="77777777" w:rsidR="009172AD" w:rsidRPr="00AC2FE5" w:rsidRDefault="009172AD">
      <w:pPr>
        <w:rPr>
          <w:rFonts w:cs="Times New Roman"/>
          <w:szCs w:val="20"/>
        </w:rPr>
      </w:pPr>
    </w:p>
    <w:p w14:paraId="135D179E" w14:textId="77777777" w:rsidR="00251FDA" w:rsidRPr="004E6969" w:rsidRDefault="00244546" w:rsidP="001A671E">
      <w:pPr>
        <w:widowControl/>
        <w:autoSpaceDE/>
        <w:autoSpaceDN/>
        <w:adjustRightInd/>
        <w:rPr>
          <w:rFonts w:cs="Times New Roman"/>
          <w:color w:val="000000"/>
          <w:sz w:val="18"/>
          <w:szCs w:val="18"/>
        </w:rPr>
      </w:pPr>
      <w:r>
        <w:rPr>
          <w:rFonts w:cs="Times New Roman"/>
          <w:b/>
          <w:bCs/>
          <w:szCs w:val="20"/>
        </w:rPr>
        <w:br w:type="page"/>
      </w:r>
    </w:p>
    <w:p w14:paraId="755FC217" w14:textId="77777777" w:rsidR="001A671E" w:rsidRDefault="001A671E" w:rsidP="001A671E">
      <w:pPr>
        <w:widowControl/>
        <w:autoSpaceDE/>
        <w:autoSpaceDN/>
        <w:adjustRightInd/>
        <w:rPr>
          <w:rFonts w:cs="Times New Roman"/>
          <w:b/>
          <w:bCs/>
          <w:szCs w:val="20"/>
        </w:rPr>
      </w:pPr>
    </w:p>
    <w:p w14:paraId="75A5E74F" w14:textId="77777777" w:rsidR="001A671E" w:rsidRPr="001E4AA8" w:rsidRDefault="001A671E" w:rsidP="001A671E">
      <w:pPr>
        <w:pBdr>
          <w:top w:val="single" w:sz="6" w:space="1" w:color="auto"/>
          <w:left w:val="single" w:sz="6" w:space="4" w:color="auto"/>
          <w:bottom w:val="single" w:sz="6" w:space="1" w:color="auto"/>
          <w:right w:val="single" w:sz="6" w:space="4" w:color="auto"/>
        </w:pBdr>
        <w:jc w:val="center"/>
        <w:rPr>
          <w:rFonts w:cs="Times New Roman"/>
          <w:b/>
          <w:bCs/>
          <w:szCs w:val="20"/>
        </w:rPr>
      </w:pPr>
      <w:r w:rsidRPr="001E4AA8">
        <w:rPr>
          <w:rFonts w:cs="Times New Roman"/>
          <w:b/>
          <w:bCs/>
          <w:szCs w:val="20"/>
        </w:rPr>
        <w:t>Risk and Return Examined for Bonds</w:t>
      </w:r>
    </w:p>
    <w:p w14:paraId="78A7C4BF" w14:textId="2FD4275B" w:rsidR="001A671E" w:rsidRPr="001E4AA8" w:rsidRDefault="001234B2" w:rsidP="001A671E">
      <w:pPr>
        <w:pBdr>
          <w:top w:val="single" w:sz="6" w:space="1" w:color="auto"/>
          <w:left w:val="single" w:sz="6" w:space="4" w:color="auto"/>
          <w:bottom w:val="single" w:sz="6" w:space="1" w:color="auto"/>
          <w:right w:val="single" w:sz="6" w:space="4" w:color="auto"/>
        </w:pBdr>
        <w:jc w:val="center"/>
        <w:rPr>
          <w:rFonts w:cs="Times New Roman"/>
          <w:b/>
          <w:sz w:val="18"/>
          <w:szCs w:val="18"/>
        </w:rPr>
      </w:pPr>
      <w:r>
        <w:rPr>
          <w:rFonts w:cs="Times New Roman"/>
          <w:b/>
          <w:sz w:val="18"/>
          <w:szCs w:val="18"/>
        </w:rPr>
        <w:t xml:space="preserve">January </w:t>
      </w:r>
      <w:r w:rsidR="001A671E" w:rsidRPr="001E4AA8">
        <w:rPr>
          <w:rFonts w:cs="Times New Roman"/>
          <w:b/>
          <w:sz w:val="18"/>
          <w:szCs w:val="18"/>
        </w:rPr>
        <w:t>1964–</w:t>
      </w:r>
      <w:r>
        <w:rPr>
          <w:rFonts w:cs="Times New Roman"/>
          <w:b/>
          <w:sz w:val="18"/>
          <w:szCs w:val="18"/>
        </w:rPr>
        <w:t xml:space="preserve">December </w:t>
      </w:r>
      <w:r w:rsidR="001A671E" w:rsidRPr="001E4AA8">
        <w:rPr>
          <w:rFonts w:cs="Times New Roman"/>
          <w:b/>
          <w:sz w:val="18"/>
          <w:szCs w:val="18"/>
        </w:rPr>
        <w:t>201</w:t>
      </w:r>
      <w:r w:rsidR="00077EC5">
        <w:rPr>
          <w:rFonts w:cs="Times New Roman"/>
          <w:b/>
          <w:sz w:val="18"/>
          <w:szCs w:val="18"/>
        </w:rPr>
        <w:t>9</w:t>
      </w:r>
    </w:p>
    <w:p w14:paraId="0E074F9E" w14:textId="77777777" w:rsidR="001234B2" w:rsidRDefault="001234B2" w:rsidP="001A671E">
      <w:pPr>
        <w:rPr>
          <w:color w:val="000000"/>
          <w:sz w:val="18"/>
          <w:szCs w:val="18"/>
        </w:rPr>
      </w:pPr>
    </w:p>
    <w:p w14:paraId="36CC7486" w14:textId="272A9BCF" w:rsidR="001234B2" w:rsidRDefault="001234B2" w:rsidP="001234B2">
      <w:pPr>
        <w:ind w:left="-144"/>
        <w:rPr>
          <w:color w:val="000000"/>
          <w:sz w:val="18"/>
          <w:szCs w:val="18"/>
        </w:rPr>
      </w:pPr>
      <w:r w:rsidRPr="00574506">
        <w:rPr>
          <w:noProof/>
        </w:rPr>
        <w:pict w14:anchorId="727246D0">
          <v:shape id="_x0000_i1058" type="#_x0000_t75" style="width:492pt;height:201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">
            <v:imagedata r:id="rId14" o:title=""/>
            <o:lock v:ext="edit" aspectratio="f"/>
          </v:shape>
        </w:pict>
      </w:r>
    </w:p>
    <w:p w14:paraId="51F2AE94" w14:textId="5C9F069B" w:rsidR="001A671E" w:rsidRPr="004E6969" w:rsidRDefault="001A671E" w:rsidP="001A671E">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66203F67" w14:textId="77777777" w:rsidR="009172AD" w:rsidRPr="00AC2FE5" w:rsidRDefault="009172AD" w:rsidP="009172AD">
      <w:pPr>
        <w:pStyle w:val="Heading3"/>
      </w:pPr>
      <w:r w:rsidRPr="00AC2FE5">
        <w:t>Equity Investments</w:t>
      </w:r>
      <w:r w:rsidR="005A72F9">
        <w:t xml:space="preserve"> </w:t>
      </w:r>
    </w:p>
    <w:p w14:paraId="7E2D31E0" w14:textId="77777777" w:rsidR="009172AD" w:rsidRPr="00AC2FE5" w:rsidRDefault="009172AD">
      <w:pPr>
        <w:rPr>
          <w:rFonts w:cs="Times New Roman"/>
          <w:szCs w:val="20"/>
        </w:rPr>
      </w:pPr>
    </w:p>
    <w:p w14:paraId="26DF47F3" w14:textId="77777777" w:rsidR="009172AD" w:rsidRDefault="00967AA4">
      <w:pPr>
        <w:rPr>
          <w:rFonts w:cs="Times New Roman"/>
          <w:szCs w:val="20"/>
        </w:rPr>
      </w:pPr>
      <w:r>
        <w:rPr>
          <w:rFonts w:cs="Times New Roman"/>
          <w:szCs w:val="20"/>
        </w:rPr>
        <w:t>Generally, w</w:t>
      </w:r>
      <w:r w:rsidR="009172AD" w:rsidRPr="00AC2FE5">
        <w:rPr>
          <w:rFonts w:cs="Times New Roman"/>
          <w:szCs w:val="20"/>
        </w:rPr>
        <w:t>e will focus your portfolio</w:t>
      </w:r>
      <w:r w:rsidR="00232C8D">
        <w:rPr>
          <w:rFonts w:cs="Times New Roman"/>
          <w:szCs w:val="20"/>
        </w:rPr>
        <w:t>’</w:t>
      </w:r>
      <w:r w:rsidR="009172AD" w:rsidRPr="00AC2FE5">
        <w:rPr>
          <w:rFonts w:cs="Times New Roman"/>
          <w:szCs w:val="20"/>
        </w:rPr>
        <w:t xml:space="preserve">s equity investments in </w:t>
      </w:r>
      <w:r w:rsidR="00232C8D">
        <w:rPr>
          <w:rFonts w:cs="Times New Roman"/>
          <w:szCs w:val="20"/>
        </w:rPr>
        <w:t>“</w:t>
      </w:r>
      <w:r w:rsidR="009172AD" w:rsidRPr="00AC2FE5">
        <w:rPr>
          <w:rFonts w:cs="Times New Roman"/>
          <w:szCs w:val="20"/>
        </w:rPr>
        <w:t>asset class funds</w:t>
      </w:r>
      <w:r w:rsidR="00232C8D">
        <w:rPr>
          <w:rFonts w:cs="Times New Roman"/>
          <w:szCs w:val="20"/>
        </w:rPr>
        <w:t>”</w:t>
      </w:r>
      <w:r w:rsidR="009172AD" w:rsidRPr="00AC2FE5">
        <w:rPr>
          <w:rFonts w:cs="Times New Roman"/>
          <w:szCs w:val="20"/>
        </w:rPr>
        <w:t xml:space="preserve"> or close proxies for asset class funds.</w:t>
      </w:r>
      <w:r w:rsidR="005A72F9">
        <w:rPr>
          <w:rFonts w:cs="Times New Roman"/>
          <w:szCs w:val="20"/>
        </w:rPr>
        <w:t xml:space="preserve"> </w:t>
      </w:r>
      <w:r w:rsidR="009172AD" w:rsidRPr="00AC2FE5">
        <w:rPr>
          <w:rFonts w:cs="Times New Roman"/>
          <w:szCs w:val="20"/>
        </w:rPr>
        <w:t>An asset class fund is a mutual fund designed to broadly represent the market, or some significant segment of the market (such as the stocks of large companies or the stocks of emerging foreign markets). These funds invest in a large number of the stocks of their defined segment of the market to provide returns closely approximating the returns offered by that particular segment.</w:t>
      </w:r>
      <w:r>
        <w:rPr>
          <w:rFonts w:cs="Times New Roman"/>
          <w:szCs w:val="20"/>
        </w:rPr>
        <w:t xml:space="preserve"> </w:t>
      </w:r>
      <w:r w:rsidR="009172AD" w:rsidRPr="00AC2FE5">
        <w:rPr>
          <w:rFonts w:cs="Times New Roman"/>
          <w:szCs w:val="20"/>
        </w:rPr>
        <w:t>By using asset class funds, we hope to lower risk by increasing diversification, achieve market segment returns and minimize costs. By choosing the asset classes that have the highest expected return, we hope to equal the total market</w:t>
      </w:r>
      <w:r w:rsidR="00232C8D">
        <w:rPr>
          <w:rFonts w:cs="Times New Roman"/>
          <w:szCs w:val="20"/>
        </w:rPr>
        <w:t>’</w:t>
      </w:r>
      <w:r w:rsidR="009172AD" w:rsidRPr="00AC2FE5">
        <w:rPr>
          <w:rFonts w:cs="Times New Roman"/>
          <w:szCs w:val="20"/>
        </w:rPr>
        <w:t>s performance with less volatility.</w:t>
      </w:r>
      <w:r>
        <w:rPr>
          <w:rFonts w:cs="Times New Roman"/>
          <w:szCs w:val="20"/>
        </w:rPr>
        <w:t xml:space="preserve"> Where asset class funds do not appear, from our research, to be the best or most economical option, we may revert to holding a typical index through the use of a</w:t>
      </w:r>
      <w:r w:rsidR="00203B93">
        <w:rPr>
          <w:rFonts w:cs="Times New Roman"/>
          <w:szCs w:val="20"/>
        </w:rPr>
        <w:t xml:space="preserve">n </w:t>
      </w:r>
      <w:r w:rsidR="007E7962">
        <w:rPr>
          <w:rFonts w:cs="Times New Roman"/>
          <w:szCs w:val="20"/>
        </w:rPr>
        <w:t>e</w:t>
      </w:r>
      <w:r w:rsidR="00203B93">
        <w:rPr>
          <w:rFonts w:cs="Times New Roman"/>
          <w:szCs w:val="20"/>
        </w:rPr>
        <w:t>xchange</w:t>
      </w:r>
      <w:r w:rsidR="007E7962">
        <w:rPr>
          <w:rFonts w:cs="Times New Roman"/>
          <w:szCs w:val="20"/>
        </w:rPr>
        <w:t>-t</w:t>
      </w:r>
      <w:r w:rsidR="00203B93">
        <w:rPr>
          <w:rFonts w:cs="Times New Roman"/>
          <w:szCs w:val="20"/>
        </w:rPr>
        <w:t xml:space="preserve">raded </w:t>
      </w:r>
      <w:r w:rsidR="007E7962">
        <w:rPr>
          <w:rFonts w:cs="Times New Roman"/>
          <w:szCs w:val="20"/>
        </w:rPr>
        <w:t>f</w:t>
      </w:r>
      <w:r w:rsidR="00203B93">
        <w:rPr>
          <w:rFonts w:cs="Times New Roman"/>
          <w:szCs w:val="20"/>
        </w:rPr>
        <w:t>und (ETF)</w:t>
      </w:r>
      <w:r w:rsidR="007E7962">
        <w:rPr>
          <w:rFonts w:cs="Times New Roman"/>
          <w:szCs w:val="20"/>
        </w:rPr>
        <w:t xml:space="preserve">, </w:t>
      </w:r>
      <w:r>
        <w:rPr>
          <w:rFonts w:cs="Times New Roman"/>
          <w:szCs w:val="20"/>
        </w:rPr>
        <w:t xml:space="preserve">best described as a </w:t>
      </w:r>
      <w:r w:rsidR="00232C8D">
        <w:rPr>
          <w:rFonts w:cs="Times New Roman"/>
          <w:szCs w:val="20"/>
        </w:rPr>
        <w:t>“</w:t>
      </w:r>
      <w:r>
        <w:rPr>
          <w:rFonts w:cs="Times New Roman"/>
          <w:szCs w:val="20"/>
        </w:rPr>
        <w:t>basket</w:t>
      </w:r>
      <w:r w:rsidR="00232C8D">
        <w:rPr>
          <w:rFonts w:cs="Times New Roman"/>
          <w:szCs w:val="20"/>
        </w:rPr>
        <w:t>”</w:t>
      </w:r>
      <w:r>
        <w:rPr>
          <w:rFonts w:cs="Times New Roman"/>
          <w:szCs w:val="20"/>
        </w:rPr>
        <w:t xml:space="preserve"> of stocks, designed to replicate a particular index or segment of the market, at the lowest cost available.</w:t>
      </w:r>
    </w:p>
    <w:p w14:paraId="5ED80C91" w14:textId="77777777" w:rsidR="001B7D01" w:rsidRPr="00AC2FE5" w:rsidRDefault="001B7D01">
      <w:pPr>
        <w:rPr>
          <w:rFonts w:cs="Times New Roman"/>
          <w:szCs w:val="20"/>
        </w:rPr>
      </w:pPr>
    </w:p>
    <w:p w14:paraId="216707F8" w14:textId="77777777" w:rsidR="009172AD" w:rsidRPr="00AC2FE5" w:rsidRDefault="009172AD" w:rsidP="009172AD">
      <w:pPr>
        <w:pStyle w:val="Heading3"/>
      </w:pPr>
      <w:r w:rsidRPr="00AC2FE5">
        <w:t>Domestic Equity Investments</w:t>
      </w:r>
    </w:p>
    <w:p w14:paraId="08A98126" w14:textId="77777777" w:rsidR="009172AD" w:rsidRPr="00AC2FE5" w:rsidRDefault="009172AD">
      <w:pPr>
        <w:rPr>
          <w:rFonts w:cs="Times New Roman"/>
          <w:szCs w:val="20"/>
        </w:rPr>
      </w:pPr>
    </w:p>
    <w:p w14:paraId="69CC504A" w14:textId="0C621A68" w:rsidR="009172AD" w:rsidRPr="00235F98" w:rsidRDefault="009172AD">
      <w:pPr>
        <w:rPr>
          <w:rFonts w:cs="Times New Roman"/>
          <w:szCs w:val="20"/>
        </w:rPr>
      </w:pPr>
      <w:r w:rsidRPr="00AC2FE5">
        <w:rPr>
          <w:rFonts w:cs="Times New Roman"/>
          <w:szCs w:val="20"/>
        </w:rPr>
        <w:t xml:space="preserve">We </w:t>
      </w:r>
      <w:r w:rsidR="00967AA4">
        <w:rPr>
          <w:rFonts w:cs="Times New Roman"/>
          <w:szCs w:val="20"/>
        </w:rPr>
        <w:t>typically</w:t>
      </w:r>
      <w:r w:rsidRPr="00AC2FE5">
        <w:rPr>
          <w:rFonts w:cs="Times New Roman"/>
          <w:szCs w:val="20"/>
        </w:rPr>
        <w:t xml:space="preserve"> chose as our domestic equity asset classes stocks of the U.S.</w:t>
      </w:r>
      <w:r w:rsidR="00232C8D">
        <w:rPr>
          <w:rFonts w:cs="Times New Roman"/>
          <w:szCs w:val="20"/>
        </w:rPr>
        <w:t>’</w:t>
      </w:r>
      <w:r w:rsidRPr="00AC2FE5">
        <w:rPr>
          <w:rFonts w:cs="Times New Roman"/>
          <w:szCs w:val="20"/>
        </w:rPr>
        <w:t>s largest capitalized companies and U.S. small stocks. We chose these because these groups have the highest expected returns and because academic research shows that the largest and smallest companies</w:t>
      </w:r>
      <w:r w:rsidR="00232C8D">
        <w:rPr>
          <w:rFonts w:cs="Times New Roman"/>
          <w:szCs w:val="20"/>
        </w:rPr>
        <w:t>’</w:t>
      </w:r>
      <w:r w:rsidRPr="00AC2FE5">
        <w:rPr>
          <w:rFonts w:cs="Times New Roman"/>
          <w:szCs w:val="20"/>
        </w:rPr>
        <w:t xml:space="preserve"> stocks have low correlation with each other.</w:t>
      </w:r>
      <w:r w:rsidR="00967AA4">
        <w:rPr>
          <w:rFonts w:cs="Times New Roman"/>
          <w:szCs w:val="20"/>
        </w:rPr>
        <w:t xml:space="preserve"> </w:t>
      </w:r>
      <w:r w:rsidRPr="00AC2FE5">
        <w:rPr>
          <w:rFonts w:cs="Times New Roman"/>
          <w:szCs w:val="20"/>
        </w:rPr>
        <w:t>In other words, in most investment periods, these two asset classes would be the best and worst performers.</w:t>
      </w:r>
      <w:r w:rsidRPr="00AC2FE5">
        <w:rPr>
          <w:rStyle w:val="FootnoteReference"/>
          <w:rFonts w:cs="Times New Roman"/>
          <w:szCs w:val="20"/>
        </w:rPr>
        <w:footnoteReference w:id="9"/>
      </w:r>
      <w:r w:rsidRPr="00AC2FE5">
        <w:rPr>
          <w:rFonts w:cs="Times New Roman"/>
          <w:szCs w:val="20"/>
        </w:rPr>
        <w:t xml:space="preserve"> Building a portfolio containing asset classes with low correlation to each other has been shown to provide greater long-term performance for the investor, while reducing risk </w:t>
      </w:r>
      <w:r w:rsidRPr="00235F98">
        <w:rPr>
          <w:rFonts w:cs="Times New Roman"/>
          <w:szCs w:val="20"/>
        </w:rPr>
        <w:t xml:space="preserve">through diversification. </w:t>
      </w:r>
    </w:p>
    <w:p w14:paraId="2A9BCFDD" w14:textId="77777777" w:rsidR="00CE7E25" w:rsidRPr="00235F98" w:rsidRDefault="00CE7E25">
      <w:pPr>
        <w:rPr>
          <w:rFonts w:cs="Times New Roman"/>
          <w:szCs w:val="20"/>
        </w:rPr>
      </w:pPr>
    </w:p>
    <w:p w14:paraId="5E311DA5" w14:textId="77777777" w:rsidR="009172AD" w:rsidRDefault="009172AD">
      <w:pPr>
        <w:rPr>
          <w:rFonts w:cs="Times New Roman"/>
          <w:szCs w:val="20"/>
        </w:rPr>
      </w:pPr>
      <w:r w:rsidRPr="00235F98">
        <w:rPr>
          <w:rFonts w:cs="Times New Roman"/>
          <w:szCs w:val="20"/>
        </w:rPr>
        <w:t>The following table highlights the best and worst performing deciles.</w:t>
      </w:r>
      <w:r w:rsidRPr="00235F98">
        <w:rPr>
          <w:rStyle w:val="FootnoteReference"/>
          <w:rFonts w:cs="Times New Roman"/>
          <w:szCs w:val="20"/>
        </w:rPr>
        <w:footnoteReference w:id="10"/>
      </w:r>
      <w:r w:rsidRPr="00235F98">
        <w:rPr>
          <w:rFonts w:cs="Times New Roman"/>
          <w:szCs w:val="20"/>
        </w:rPr>
        <w:t xml:space="preserve"> You can see that the largest movements have generally occurred in the largest and smallest deciles.</w:t>
      </w:r>
    </w:p>
    <w:p w14:paraId="1D4B18F6" w14:textId="77777777" w:rsidR="000D76FE" w:rsidRDefault="000D76FE">
      <w:pPr>
        <w:rPr>
          <w:rFonts w:cs="Times New Roman"/>
          <w:szCs w:val="20"/>
        </w:rPr>
      </w:pPr>
    </w:p>
    <w:p w14:paraId="65095CEC" w14:textId="77777777" w:rsidR="0056042B" w:rsidRPr="00525B3A" w:rsidRDefault="0056042B" w:rsidP="0056042B">
      <w:pPr>
        <w:pBdr>
          <w:top w:val="single" w:sz="6" w:space="1" w:color="auto"/>
          <w:left w:val="single" w:sz="6" w:space="4" w:color="auto"/>
          <w:bottom w:val="single" w:sz="6" w:space="1" w:color="auto"/>
          <w:right w:val="single" w:sz="6" w:space="4" w:color="auto"/>
        </w:pBdr>
        <w:jc w:val="center"/>
        <w:rPr>
          <w:rFonts w:ascii="Times" w:hAnsi="Times" w:cs="Times"/>
          <w:b/>
          <w:bCs/>
          <w:szCs w:val="20"/>
        </w:rPr>
      </w:pPr>
      <w:r>
        <w:rPr>
          <w:rFonts w:ascii="Times" w:hAnsi="Times" w:cs="Times"/>
          <w:b/>
          <w:bCs/>
          <w:szCs w:val="20"/>
        </w:rPr>
        <w:lastRenderedPageBreak/>
        <w:t>Performance of CRSP Deciles</w:t>
      </w:r>
    </w:p>
    <w:p w14:paraId="370ACBD3" w14:textId="343A3039" w:rsidR="00235F98" w:rsidRPr="00525B3A" w:rsidRDefault="0056042B" w:rsidP="0056042B">
      <w:pPr>
        <w:pBdr>
          <w:top w:val="single" w:sz="6" w:space="1" w:color="auto"/>
          <w:left w:val="single" w:sz="6" w:space="4" w:color="auto"/>
          <w:bottom w:val="single" w:sz="6" w:space="1" w:color="auto"/>
          <w:right w:val="single" w:sz="6" w:space="4" w:color="auto"/>
        </w:pBdr>
        <w:jc w:val="center"/>
        <w:rPr>
          <w:rFonts w:ascii="Times" w:hAnsi="Times" w:cs="Times"/>
          <w:b/>
          <w:bCs/>
          <w:sz w:val="18"/>
          <w:szCs w:val="18"/>
        </w:rPr>
      </w:pPr>
      <w:r>
        <w:rPr>
          <w:rFonts w:ascii="Times" w:hAnsi="Times" w:cs="Times"/>
          <w:b/>
          <w:bCs/>
          <w:sz w:val="18"/>
          <w:szCs w:val="18"/>
        </w:rPr>
        <w:t>Periodic Returns</w:t>
      </w:r>
      <w:r w:rsidR="00B9421B">
        <w:rPr>
          <w:rFonts w:ascii="Times" w:hAnsi="Times" w:cs="Times"/>
          <w:b/>
          <w:bCs/>
          <w:sz w:val="18"/>
          <w:szCs w:val="18"/>
        </w:rPr>
        <w:t xml:space="preserve">: </w:t>
      </w:r>
      <w:r w:rsidR="00235F98">
        <w:rPr>
          <w:rFonts w:ascii="Times" w:hAnsi="Times" w:cs="Times"/>
          <w:b/>
          <w:bCs/>
          <w:sz w:val="18"/>
          <w:szCs w:val="18"/>
        </w:rPr>
        <w:t xml:space="preserve">January </w:t>
      </w:r>
      <w:r w:rsidR="00B9421B">
        <w:rPr>
          <w:rFonts w:ascii="Times" w:hAnsi="Times" w:cs="Times"/>
          <w:b/>
          <w:bCs/>
          <w:sz w:val="18"/>
          <w:szCs w:val="18"/>
        </w:rPr>
        <w:t>192</w:t>
      </w:r>
      <w:r w:rsidR="00176DB5">
        <w:rPr>
          <w:rFonts w:ascii="Times" w:hAnsi="Times" w:cs="Times"/>
          <w:b/>
          <w:bCs/>
          <w:sz w:val="18"/>
          <w:szCs w:val="18"/>
        </w:rPr>
        <w:t>6</w:t>
      </w:r>
      <w:r w:rsidR="00185FE8">
        <w:rPr>
          <w:rFonts w:ascii="Times" w:hAnsi="Times" w:cs="Times"/>
          <w:b/>
          <w:bCs/>
          <w:sz w:val="18"/>
          <w:szCs w:val="18"/>
        </w:rPr>
        <w:t>-</w:t>
      </w:r>
      <w:r w:rsidR="00235F98">
        <w:rPr>
          <w:rFonts w:ascii="Times" w:hAnsi="Times" w:cs="Times"/>
          <w:b/>
          <w:bCs/>
          <w:sz w:val="18"/>
          <w:szCs w:val="18"/>
        </w:rPr>
        <w:t xml:space="preserve">December </w:t>
      </w:r>
      <w:r w:rsidR="00185FE8">
        <w:rPr>
          <w:rFonts w:ascii="Times" w:hAnsi="Times" w:cs="Times"/>
          <w:b/>
          <w:bCs/>
          <w:sz w:val="18"/>
          <w:szCs w:val="18"/>
        </w:rPr>
        <w:t>201</w:t>
      </w:r>
      <w:r w:rsidR="00235F98">
        <w:rPr>
          <w:rFonts w:ascii="Times" w:hAnsi="Times" w:cs="Times"/>
          <w:b/>
          <w:bCs/>
          <w:sz w:val="18"/>
          <w:szCs w:val="18"/>
        </w:rPr>
        <w:t>9</w:t>
      </w:r>
    </w:p>
    <w:p w14:paraId="07C5112B" w14:textId="63F06429" w:rsidR="0056042B" w:rsidRPr="00244546" w:rsidRDefault="0056042B">
      <w:pPr>
        <w:rPr>
          <w:rFonts w:cs="Times New Roman"/>
          <w:sz w:val="8"/>
          <w:szCs w:val="8"/>
        </w:rPr>
      </w:pPr>
    </w:p>
    <w:tbl>
      <w:tblPr>
        <w:tblW w:w="9715" w:type="dxa"/>
        <w:tblLook w:val="04A0" w:firstRow="1" w:lastRow="0" w:firstColumn="1" w:lastColumn="0" w:noHBand="0" w:noVBand="1"/>
      </w:tblPr>
      <w:tblGrid>
        <w:gridCol w:w="1098"/>
        <w:gridCol w:w="861"/>
        <w:gridCol w:w="861"/>
        <w:gridCol w:w="861"/>
        <w:gridCol w:w="862"/>
        <w:gridCol w:w="862"/>
        <w:gridCol w:w="862"/>
        <w:gridCol w:w="862"/>
        <w:gridCol w:w="862"/>
        <w:gridCol w:w="862"/>
        <w:gridCol w:w="862"/>
      </w:tblGrid>
      <w:tr w:rsidR="00235F98" w:rsidRPr="00235F98" w14:paraId="352EF18D" w14:textId="77777777" w:rsidTr="00BD390E">
        <w:trPr>
          <w:trHeight w:val="288"/>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7C373"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Period</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14:paraId="2F51D0BF"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1</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14:paraId="70C1EB2D"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2</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14:paraId="5A681B9A"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3</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66F7BF54"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4</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4973F84B"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5</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01093BFA"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6</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5A4E9A6B"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7</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1486E858"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8</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168C455F"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9</w:t>
            </w:r>
          </w:p>
        </w:tc>
        <w:tc>
          <w:tcPr>
            <w:tcW w:w="862" w:type="dxa"/>
            <w:tcBorders>
              <w:top w:val="single" w:sz="4" w:space="0" w:color="auto"/>
              <w:left w:val="nil"/>
              <w:bottom w:val="single" w:sz="4" w:space="0" w:color="auto"/>
              <w:right w:val="single" w:sz="4" w:space="0" w:color="auto"/>
            </w:tcBorders>
            <w:shd w:val="clear" w:color="auto" w:fill="auto"/>
            <w:noWrap/>
            <w:vAlign w:val="center"/>
            <w:hideMark/>
          </w:tcPr>
          <w:p w14:paraId="1E4E1957" w14:textId="77777777" w:rsidR="00235F98" w:rsidRPr="00235F98" w:rsidRDefault="00235F98" w:rsidP="00B64920">
            <w:pPr>
              <w:widowControl/>
              <w:autoSpaceDE/>
              <w:autoSpaceDN/>
              <w:adjustRightInd/>
              <w:jc w:val="center"/>
              <w:rPr>
                <w:rFonts w:cs="Times New Roman"/>
                <w:b/>
                <w:bCs/>
                <w:color w:val="000000"/>
                <w:sz w:val="19"/>
                <w:szCs w:val="19"/>
              </w:rPr>
            </w:pPr>
            <w:r w:rsidRPr="00235F98">
              <w:rPr>
                <w:rFonts w:cs="Times New Roman"/>
                <w:b/>
                <w:bCs/>
                <w:color w:val="000000"/>
                <w:sz w:val="19"/>
                <w:szCs w:val="19"/>
              </w:rPr>
              <w:t>10</w:t>
            </w:r>
          </w:p>
        </w:tc>
      </w:tr>
      <w:tr w:rsidR="00235F98" w:rsidRPr="00235F98" w14:paraId="09980A13"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64F58AF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1926-28</w:t>
            </w:r>
          </w:p>
        </w:tc>
        <w:tc>
          <w:tcPr>
            <w:tcW w:w="861" w:type="dxa"/>
            <w:tcBorders>
              <w:top w:val="nil"/>
              <w:left w:val="nil"/>
              <w:bottom w:val="single" w:sz="4" w:space="0" w:color="auto"/>
              <w:right w:val="single" w:sz="4" w:space="0" w:color="auto"/>
            </w:tcBorders>
            <w:shd w:val="clear" w:color="auto" w:fill="auto"/>
            <w:noWrap/>
            <w:vAlign w:val="center"/>
            <w:hideMark/>
          </w:tcPr>
          <w:p w14:paraId="3AE1BA7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109.1%</w:t>
            </w:r>
          </w:p>
        </w:tc>
        <w:tc>
          <w:tcPr>
            <w:tcW w:w="861" w:type="dxa"/>
            <w:tcBorders>
              <w:top w:val="nil"/>
              <w:left w:val="nil"/>
              <w:bottom w:val="single" w:sz="4" w:space="0" w:color="auto"/>
              <w:right w:val="single" w:sz="4" w:space="0" w:color="auto"/>
            </w:tcBorders>
            <w:shd w:val="clear" w:color="auto" w:fill="auto"/>
            <w:noWrap/>
            <w:vAlign w:val="center"/>
            <w:hideMark/>
          </w:tcPr>
          <w:p w14:paraId="00BA532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89.5%</w:t>
            </w:r>
          </w:p>
        </w:tc>
        <w:tc>
          <w:tcPr>
            <w:tcW w:w="861" w:type="dxa"/>
            <w:tcBorders>
              <w:top w:val="nil"/>
              <w:left w:val="nil"/>
              <w:bottom w:val="single" w:sz="4" w:space="0" w:color="auto"/>
              <w:right w:val="single" w:sz="4" w:space="0" w:color="auto"/>
            </w:tcBorders>
            <w:shd w:val="clear" w:color="auto" w:fill="auto"/>
            <w:noWrap/>
            <w:vAlign w:val="center"/>
            <w:hideMark/>
          </w:tcPr>
          <w:p w14:paraId="07159BD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85.2%</w:t>
            </w:r>
          </w:p>
        </w:tc>
        <w:tc>
          <w:tcPr>
            <w:tcW w:w="862" w:type="dxa"/>
            <w:tcBorders>
              <w:top w:val="nil"/>
              <w:left w:val="nil"/>
              <w:bottom w:val="single" w:sz="4" w:space="0" w:color="auto"/>
              <w:right w:val="single" w:sz="4" w:space="0" w:color="auto"/>
            </w:tcBorders>
            <w:shd w:val="clear" w:color="auto" w:fill="auto"/>
            <w:noWrap/>
            <w:vAlign w:val="center"/>
            <w:hideMark/>
          </w:tcPr>
          <w:p w14:paraId="6307A32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87.9%</w:t>
            </w:r>
          </w:p>
        </w:tc>
        <w:tc>
          <w:tcPr>
            <w:tcW w:w="862" w:type="dxa"/>
            <w:tcBorders>
              <w:top w:val="nil"/>
              <w:left w:val="nil"/>
              <w:bottom w:val="single" w:sz="4" w:space="0" w:color="auto"/>
              <w:right w:val="single" w:sz="4" w:space="0" w:color="auto"/>
            </w:tcBorders>
            <w:shd w:val="clear" w:color="000000" w:fill="C6E0B4"/>
            <w:noWrap/>
            <w:vAlign w:val="center"/>
            <w:hideMark/>
          </w:tcPr>
          <w:p w14:paraId="370AE8A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110.3%</w:t>
            </w:r>
          </w:p>
        </w:tc>
        <w:tc>
          <w:tcPr>
            <w:tcW w:w="862" w:type="dxa"/>
            <w:tcBorders>
              <w:top w:val="nil"/>
              <w:left w:val="nil"/>
              <w:bottom w:val="single" w:sz="4" w:space="0" w:color="auto"/>
              <w:right w:val="single" w:sz="4" w:space="0" w:color="auto"/>
            </w:tcBorders>
            <w:shd w:val="clear" w:color="auto" w:fill="auto"/>
            <w:noWrap/>
            <w:vAlign w:val="center"/>
            <w:hideMark/>
          </w:tcPr>
          <w:p w14:paraId="388CD40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66.8%</w:t>
            </w:r>
          </w:p>
        </w:tc>
        <w:tc>
          <w:tcPr>
            <w:tcW w:w="862" w:type="dxa"/>
            <w:tcBorders>
              <w:top w:val="nil"/>
              <w:left w:val="nil"/>
              <w:bottom w:val="single" w:sz="4" w:space="0" w:color="auto"/>
              <w:right w:val="single" w:sz="4" w:space="0" w:color="auto"/>
            </w:tcBorders>
            <w:shd w:val="clear" w:color="auto" w:fill="auto"/>
            <w:noWrap/>
            <w:vAlign w:val="center"/>
            <w:hideMark/>
          </w:tcPr>
          <w:p w14:paraId="0DAE8CE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86.4%</w:t>
            </w:r>
          </w:p>
        </w:tc>
        <w:tc>
          <w:tcPr>
            <w:tcW w:w="862" w:type="dxa"/>
            <w:tcBorders>
              <w:top w:val="nil"/>
              <w:left w:val="nil"/>
              <w:bottom w:val="single" w:sz="4" w:space="0" w:color="auto"/>
              <w:right w:val="single" w:sz="4" w:space="0" w:color="auto"/>
            </w:tcBorders>
            <w:shd w:val="clear" w:color="000000" w:fill="B4C6E7"/>
            <w:noWrap/>
            <w:vAlign w:val="center"/>
            <w:hideMark/>
          </w:tcPr>
          <w:p w14:paraId="7C5F24A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49.9%</w:t>
            </w:r>
          </w:p>
        </w:tc>
        <w:tc>
          <w:tcPr>
            <w:tcW w:w="862" w:type="dxa"/>
            <w:tcBorders>
              <w:top w:val="nil"/>
              <w:left w:val="nil"/>
              <w:bottom w:val="single" w:sz="4" w:space="0" w:color="auto"/>
              <w:right w:val="single" w:sz="4" w:space="0" w:color="auto"/>
            </w:tcBorders>
            <w:shd w:val="clear" w:color="auto" w:fill="auto"/>
            <w:noWrap/>
            <w:vAlign w:val="center"/>
            <w:hideMark/>
          </w:tcPr>
          <w:p w14:paraId="690EB64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60.5%</w:t>
            </w:r>
          </w:p>
        </w:tc>
        <w:tc>
          <w:tcPr>
            <w:tcW w:w="862" w:type="dxa"/>
            <w:tcBorders>
              <w:top w:val="nil"/>
              <w:left w:val="nil"/>
              <w:bottom w:val="single" w:sz="4" w:space="0" w:color="auto"/>
              <w:right w:val="single" w:sz="4" w:space="0" w:color="auto"/>
            </w:tcBorders>
            <w:shd w:val="clear" w:color="auto" w:fill="auto"/>
            <w:noWrap/>
            <w:vAlign w:val="center"/>
            <w:hideMark/>
          </w:tcPr>
          <w:p w14:paraId="7473628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103.5%</w:t>
            </w:r>
          </w:p>
        </w:tc>
      </w:tr>
      <w:tr w:rsidR="00235F98" w:rsidRPr="00235F98" w14:paraId="788593DC"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8C7286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1929-31</w:t>
            </w:r>
          </w:p>
        </w:tc>
        <w:tc>
          <w:tcPr>
            <w:tcW w:w="861" w:type="dxa"/>
            <w:tcBorders>
              <w:top w:val="nil"/>
              <w:left w:val="nil"/>
              <w:bottom w:val="single" w:sz="4" w:space="0" w:color="auto"/>
              <w:right w:val="single" w:sz="4" w:space="0" w:color="auto"/>
            </w:tcBorders>
            <w:shd w:val="clear" w:color="000000" w:fill="C6E0B4"/>
            <w:noWrap/>
            <w:vAlign w:val="center"/>
            <w:hideMark/>
          </w:tcPr>
          <w:p w14:paraId="7B651B4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-61.2%</w:t>
            </w:r>
          </w:p>
        </w:tc>
        <w:tc>
          <w:tcPr>
            <w:tcW w:w="861" w:type="dxa"/>
            <w:tcBorders>
              <w:top w:val="nil"/>
              <w:left w:val="nil"/>
              <w:bottom w:val="single" w:sz="4" w:space="0" w:color="auto"/>
              <w:right w:val="single" w:sz="4" w:space="0" w:color="auto"/>
            </w:tcBorders>
            <w:shd w:val="clear" w:color="auto" w:fill="auto"/>
            <w:noWrap/>
            <w:vAlign w:val="center"/>
            <w:hideMark/>
          </w:tcPr>
          <w:p w14:paraId="70D37CC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-71.1%</w:t>
            </w:r>
          </w:p>
        </w:tc>
        <w:tc>
          <w:tcPr>
            <w:tcW w:w="861" w:type="dxa"/>
            <w:tcBorders>
              <w:top w:val="nil"/>
              <w:left w:val="nil"/>
              <w:bottom w:val="single" w:sz="4" w:space="0" w:color="auto"/>
              <w:right w:val="single" w:sz="4" w:space="0" w:color="auto"/>
            </w:tcBorders>
            <w:shd w:val="clear" w:color="auto" w:fill="auto"/>
            <w:noWrap/>
            <w:vAlign w:val="center"/>
            <w:hideMark/>
          </w:tcPr>
          <w:p w14:paraId="7C66DB5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-74.7%</w:t>
            </w:r>
          </w:p>
        </w:tc>
        <w:tc>
          <w:tcPr>
            <w:tcW w:w="862" w:type="dxa"/>
            <w:tcBorders>
              <w:top w:val="nil"/>
              <w:left w:val="nil"/>
              <w:bottom w:val="single" w:sz="4" w:space="0" w:color="auto"/>
              <w:right w:val="single" w:sz="4" w:space="0" w:color="auto"/>
            </w:tcBorders>
            <w:shd w:val="clear" w:color="auto" w:fill="auto"/>
            <w:noWrap/>
            <w:vAlign w:val="center"/>
            <w:hideMark/>
          </w:tcPr>
          <w:p w14:paraId="10F9C55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-76.7%</w:t>
            </w:r>
          </w:p>
        </w:tc>
        <w:tc>
          <w:tcPr>
            <w:tcW w:w="862" w:type="dxa"/>
            <w:tcBorders>
              <w:top w:val="nil"/>
              <w:left w:val="nil"/>
              <w:bottom w:val="single" w:sz="4" w:space="0" w:color="auto"/>
              <w:right w:val="single" w:sz="4" w:space="0" w:color="auto"/>
            </w:tcBorders>
            <w:shd w:val="clear" w:color="auto" w:fill="auto"/>
            <w:noWrap/>
            <w:vAlign w:val="center"/>
            <w:hideMark/>
          </w:tcPr>
          <w:p w14:paraId="5913822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-73.0%</w:t>
            </w:r>
          </w:p>
        </w:tc>
        <w:tc>
          <w:tcPr>
            <w:tcW w:w="862" w:type="dxa"/>
            <w:tcBorders>
              <w:top w:val="nil"/>
              <w:left w:val="nil"/>
              <w:bottom w:val="single" w:sz="4" w:space="0" w:color="auto"/>
              <w:right w:val="single" w:sz="4" w:space="0" w:color="auto"/>
            </w:tcBorders>
            <w:shd w:val="clear" w:color="auto" w:fill="auto"/>
            <w:noWrap/>
            <w:vAlign w:val="center"/>
            <w:hideMark/>
          </w:tcPr>
          <w:p w14:paraId="5C73ED5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-82.0%</w:t>
            </w:r>
          </w:p>
        </w:tc>
        <w:tc>
          <w:tcPr>
            <w:tcW w:w="862" w:type="dxa"/>
            <w:tcBorders>
              <w:top w:val="nil"/>
              <w:left w:val="nil"/>
              <w:bottom w:val="single" w:sz="4" w:space="0" w:color="auto"/>
              <w:right w:val="single" w:sz="4" w:space="0" w:color="auto"/>
            </w:tcBorders>
            <w:shd w:val="clear" w:color="auto" w:fill="auto"/>
            <w:noWrap/>
            <w:vAlign w:val="center"/>
            <w:hideMark/>
          </w:tcPr>
          <w:p w14:paraId="666471F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-79.1%</w:t>
            </w:r>
          </w:p>
        </w:tc>
        <w:tc>
          <w:tcPr>
            <w:tcW w:w="862" w:type="dxa"/>
            <w:tcBorders>
              <w:top w:val="nil"/>
              <w:left w:val="nil"/>
              <w:bottom w:val="single" w:sz="4" w:space="0" w:color="auto"/>
              <w:right w:val="single" w:sz="4" w:space="0" w:color="auto"/>
            </w:tcBorders>
            <w:shd w:val="clear" w:color="auto" w:fill="auto"/>
            <w:noWrap/>
            <w:vAlign w:val="center"/>
            <w:hideMark/>
          </w:tcPr>
          <w:p w14:paraId="3675621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-84.4%</w:t>
            </w:r>
          </w:p>
        </w:tc>
        <w:tc>
          <w:tcPr>
            <w:tcW w:w="862" w:type="dxa"/>
            <w:tcBorders>
              <w:top w:val="nil"/>
              <w:left w:val="nil"/>
              <w:bottom w:val="single" w:sz="4" w:space="0" w:color="auto"/>
              <w:right w:val="single" w:sz="4" w:space="0" w:color="auto"/>
            </w:tcBorders>
            <w:shd w:val="clear" w:color="auto" w:fill="auto"/>
            <w:noWrap/>
            <w:vAlign w:val="center"/>
            <w:hideMark/>
          </w:tcPr>
          <w:p w14:paraId="5040866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-85.8%</w:t>
            </w:r>
          </w:p>
        </w:tc>
        <w:tc>
          <w:tcPr>
            <w:tcW w:w="862" w:type="dxa"/>
            <w:tcBorders>
              <w:top w:val="nil"/>
              <w:left w:val="nil"/>
              <w:bottom w:val="single" w:sz="4" w:space="0" w:color="auto"/>
              <w:right w:val="single" w:sz="4" w:space="0" w:color="auto"/>
            </w:tcBorders>
            <w:shd w:val="clear" w:color="000000" w:fill="B4C6E7"/>
            <w:noWrap/>
            <w:vAlign w:val="center"/>
            <w:hideMark/>
          </w:tcPr>
          <w:p w14:paraId="5672431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-88.0%</w:t>
            </w:r>
          </w:p>
        </w:tc>
      </w:tr>
      <w:tr w:rsidR="00235F98" w:rsidRPr="00235F98" w14:paraId="0FBCA735"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786677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1931-34</w:t>
            </w:r>
          </w:p>
        </w:tc>
        <w:tc>
          <w:tcPr>
            <w:tcW w:w="861" w:type="dxa"/>
            <w:tcBorders>
              <w:top w:val="nil"/>
              <w:left w:val="nil"/>
              <w:bottom w:val="single" w:sz="4" w:space="0" w:color="auto"/>
              <w:right w:val="single" w:sz="4" w:space="0" w:color="auto"/>
            </w:tcBorders>
            <w:shd w:val="clear" w:color="000000" w:fill="B4C6E7"/>
            <w:noWrap/>
            <w:vAlign w:val="center"/>
            <w:hideMark/>
          </w:tcPr>
          <w:p w14:paraId="3A3B321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32.6%</w:t>
            </w:r>
          </w:p>
        </w:tc>
        <w:tc>
          <w:tcPr>
            <w:tcW w:w="861" w:type="dxa"/>
            <w:tcBorders>
              <w:top w:val="nil"/>
              <w:left w:val="nil"/>
              <w:bottom w:val="single" w:sz="4" w:space="0" w:color="auto"/>
              <w:right w:val="single" w:sz="4" w:space="0" w:color="auto"/>
            </w:tcBorders>
            <w:shd w:val="clear" w:color="auto" w:fill="auto"/>
            <w:noWrap/>
            <w:vAlign w:val="center"/>
            <w:hideMark/>
          </w:tcPr>
          <w:p w14:paraId="0BFD869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83.4%</w:t>
            </w:r>
          </w:p>
        </w:tc>
        <w:tc>
          <w:tcPr>
            <w:tcW w:w="861" w:type="dxa"/>
            <w:tcBorders>
              <w:top w:val="nil"/>
              <w:left w:val="nil"/>
              <w:bottom w:val="single" w:sz="4" w:space="0" w:color="auto"/>
              <w:right w:val="single" w:sz="4" w:space="0" w:color="auto"/>
            </w:tcBorders>
            <w:shd w:val="clear" w:color="auto" w:fill="auto"/>
            <w:noWrap/>
            <w:vAlign w:val="center"/>
            <w:hideMark/>
          </w:tcPr>
          <w:p w14:paraId="1821B18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111.7%</w:t>
            </w:r>
          </w:p>
        </w:tc>
        <w:tc>
          <w:tcPr>
            <w:tcW w:w="862" w:type="dxa"/>
            <w:tcBorders>
              <w:top w:val="nil"/>
              <w:left w:val="nil"/>
              <w:bottom w:val="single" w:sz="4" w:space="0" w:color="auto"/>
              <w:right w:val="single" w:sz="4" w:space="0" w:color="auto"/>
            </w:tcBorders>
            <w:shd w:val="clear" w:color="auto" w:fill="auto"/>
            <w:noWrap/>
            <w:vAlign w:val="center"/>
            <w:hideMark/>
          </w:tcPr>
          <w:p w14:paraId="5FA3DA2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115.4%</w:t>
            </w:r>
          </w:p>
        </w:tc>
        <w:tc>
          <w:tcPr>
            <w:tcW w:w="862" w:type="dxa"/>
            <w:tcBorders>
              <w:top w:val="nil"/>
              <w:left w:val="nil"/>
              <w:bottom w:val="single" w:sz="4" w:space="0" w:color="auto"/>
              <w:right w:val="single" w:sz="4" w:space="0" w:color="auto"/>
            </w:tcBorders>
            <w:shd w:val="clear" w:color="auto" w:fill="auto"/>
            <w:noWrap/>
            <w:vAlign w:val="center"/>
            <w:hideMark/>
          </w:tcPr>
          <w:p w14:paraId="2BF636F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92.7%</w:t>
            </w:r>
          </w:p>
        </w:tc>
        <w:tc>
          <w:tcPr>
            <w:tcW w:w="862" w:type="dxa"/>
            <w:tcBorders>
              <w:top w:val="nil"/>
              <w:left w:val="nil"/>
              <w:bottom w:val="single" w:sz="4" w:space="0" w:color="auto"/>
              <w:right w:val="single" w:sz="4" w:space="0" w:color="auto"/>
            </w:tcBorders>
            <w:shd w:val="clear" w:color="auto" w:fill="auto"/>
            <w:noWrap/>
            <w:vAlign w:val="center"/>
            <w:hideMark/>
          </w:tcPr>
          <w:p w14:paraId="1FA8295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154.6%</w:t>
            </w:r>
          </w:p>
        </w:tc>
        <w:tc>
          <w:tcPr>
            <w:tcW w:w="862" w:type="dxa"/>
            <w:tcBorders>
              <w:top w:val="nil"/>
              <w:left w:val="nil"/>
              <w:bottom w:val="single" w:sz="4" w:space="0" w:color="auto"/>
              <w:right w:val="single" w:sz="4" w:space="0" w:color="auto"/>
            </w:tcBorders>
            <w:shd w:val="clear" w:color="auto" w:fill="auto"/>
            <w:noWrap/>
            <w:vAlign w:val="center"/>
            <w:hideMark/>
          </w:tcPr>
          <w:p w14:paraId="114655C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113.1%</w:t>
            </w:r>
          </w:p>
        </w:tc>
        <w:tc>
          <w:tcPr>
            <w:tcW w:w="862" w:type="dxa"/>
            <w:tcBorders>
              <w:top w:val="nil"/>
              <w:left w:val="nil"/>
              <w:bottom w:val="single" w:sz="4" w:space="0" w:color="auto"/>
              <w:right w:val="single" w:sz="4" w:space="0" w:color="auto"/>
            </w:tcBorders>
            <w:shd w:val="clear" w:color="auto" w:fill="auto"/>
            <w:noWrap/>
            <w:vAlign w:val="center"/>
            <w:hideMark/>
          </w:tcPr>
          <w:p w14:paraId="525694F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222.6%</w:t>
            </w:r>
          </w:p>
        </w:tc>
        <w:tc>
          <w:tcPr>
            <w:tcW w:w="862" w:type="dxa"/>
            <w:tcBorders>
              <w:top w:val="nil"/>
              <w:left w:val="nil"/>
              <w:bottom w:val="single" w:sz="4" w:space="0" w:color="auto"/>
              <w:right w:val="single" w:sz="4" w:space="0" w:color="auto"/>
            </w:tcBorders>
            <w:shd w:val="clear" w:color="auto" w:fill="auto"/>
            <w:noWrap/>
            <w:vAlign w:val="center"/>
            <w:hideMark/>
          </w:tcPr>
          <w:p w14:paraId="5E9D3BA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280.2%</w:t>
            </w:r>
          </w:p>
        </w:tc>
        <w:tc>
          <w:tcPr>
            <w:tcW w:w="862" w:type="dxa"/>
            <w:tcBorders>
              <w:top w:val="nil"/>
              <w:left w:val="nil"/>
              <w:bottom w:val="single" w:sz="4" w:space="0" w:color="auto"/>
              <w:right w:val="single" w:sz="4" w:space="0" w:color="auto"/>
            </w:tcBorders>
            <w:shd w:val="clear" w:color="000000" w:fill="C6E0B4"/>
            <w:noWrap/>
            <w:vAlign w:val="center"/>
            <w:hideMark/>
          </w:tcPr>
          <w:p w14:paraId="5106DF9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447.3%</w:t>
            </w:r>
          </w:p>
        </w:tc>
      </w:tr>
      <w:tr w:rsidR="00235F98" w:rsidRPr="00235F98" w14:paraId="44C81FE1"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53675FB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1935-37</w:t>
            </w:r>
          </w:p>
        </w:tc>
        <w:tc>
          <w:tcPr>
            <w:tcW w:w="861" w:type="dxa"/>
            <w:tcBorders>
              <w:top w:val="nil"/>
              <w:left w:val="nil"/>
              <w:bottom w:val="single" w:sz="4" w:space="0" w:color="auto"/>
              <w:right w:val="single" w:sz="4" w:space="0" w:color="auto"/>
            </w:tcBorders>
            <w:shd w:val="clear" w:color="auto" w:fill="auto"/>
            <w:noWrap/>
            <w:vAlign w:val="center"/>
            <w:hideMark/>
          </w:tcPr>
          <w:p w14:paraId="3FCECF0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25.4%</w:t>
            </w:r>
          </w:p>
        </w:tc>
        <w:tc>
          <w:tcPr>
            <w:tcW w:w="861" w:type="dxa"/>
            <w:tcBorders>
              <w:top w:val="nil"/>
              <w:left w:val="nil"/>
              <w:bottom w:val="single" w:sz="4" w:space="0" w:color="auto"/>
              <w:right w:val="single" w:sz="4" w:space="0" w:color="auto"/>
            </w:tcBorders>
            <w:shd w:val="clear" w:color="auto" w:fill="auto"/>
            <w:noWrap/>
            <w:vAlign w:val="center"/>
            <w:hideMark/>
          </w:tcPr>
          <w:p w14:paraId="7BEA506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33.5%</w:t>
            </w:r>
          </w:p>
        </w:tc>
        <w:tc>
          <w:tcPr>
            <w:tcW w:w="861" w:type="dxa"/>
            <w:tcBorders>
              <w:top w:val="nil"/>
              <w:left w:val="nil"/>
              <w:bottom w:val="single" w:sz="4" w:space="0" w:color="auto"/>
              <w:right w:val="single" w:sz="4" w:space="0" w:color="auto"/>
            </w:tcBorders>
            <w:shd w:val="clear" w:color="000000" w:fill="B4C6E7"/>
            <w:noWrap/>
            <w:vAlign w:val="center"/>
            <w:hideMark/>
          </w:tcPr>
          <w:p w14:paraId="671B9D7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w:t>
            </w:r>
          </w:p>
        </w:tc>
        <w:tc>
          <w:tcPr>
            <w:tcW w:w="862" w:type="dxa"/>
            <w:tcBorders>
              <w:top w:val="nil"/>
              <w:left w:val="nil"/>
              <w:bottom w:val="single" w:sz="4" w:space="0" w:color="auto"/>
              <w:right w:val="single" w:sz="4" w:space="0" w:color="auto"/>
            </w:tcBorders>
            <w:shd w:val="clear" w:color="auto" w:fill="auto"/>
            <w:noWrap/>
            <w:vAlign w:val="center"/>
            <w:hideMark/>
          </w:tcPr>
          <w:p w14:paraId="2973D50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11.4%</w:t>
            </w:r>
          </w:p>
        </w:tc>
        <w:tc>
          <w:tcPr>
            <w:tcW w:w="862" w:type="dxa"/>
            <w:tcBorders>
              <w:top w:val="nil"/>
              <w:left w:val="nil"/>
              <w:bottom w:val="single" w:sz="4" w:space="0" w:color="auto"/>
              <w:right w:val="single" w:sz="4" w:space="0" w:color="auto"/>
            </w:tcBorders>
            <w:shd w:val="clear" w:color="auto" w:fill="auto"/>
            <w:noWrap/>
            <w:vAlign w:val="center"/>
            <w:hideMark/>
          </w:tcPr>
          <w:p w14:paraId="5BC0A41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22.3%</w:t>
            </w:r>
          </w:p>
        </w:tc>
        <w:tc>
          <w:tcPr>
            <w:tcW w:w="862" w:type="dxa"/>
            <w:tcBorders>
              <w:top w:val="nil"/>
              <w:left w:val="nil"/>
              <w:bottom w:val="single" w:sz="4" w:space="0" w:color="auto"/>
              <w:right w:val="single" w:sz="4" w:space="0" w:color="auto"/>
            </w:tcBorders>
            <w:shd w:val="clear" w:color="auto" w:fill="auto"/>
            <w:noWrap/>
            <w:vAlign w:val="center"/>
            <w:hideMark/>
          </w:tcPr>
          <w:p w14:paraId="08630C4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23.9%</w:t>
            </w:r>
          </w:p>
        </w:tc>
        <w:tc>
          <w:tcPr>
            <w:tcW w:w="862" w:type="dxa"/>
            <w:tcBorders>
              <w:top w:val="nil"/>
              <w:left w:val="nil"/>
              <w:bottom w:val="single" w:sz="4" w:space="0" w:color="auto"/>
              <w:right w:val="single" w:sz="4" w:space="0" w:color="auto"/>
            </w:tcBorders>
            <w:shd w:val="clear" w:color="auto" w:fill="auto"/>
            <w:noWrap/>
            <w:vAlign w:val="center"/>
            <w:hideMark/>
          </w:tcPr>
          <w:p w14:paraId="5ADB9D9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32.1%</w:t>
            </w:r>
          </w:p>
        </w:tc>
        <w:tc>
          <w:tcPr>
            <w:tcW w:w="862" w:type="dxa"/>
            <w:tcBorders>
              <w:top w:val="nil"/>
              <w:left w:val="nil"/>
              <w:bottom w:val="single" w:sz="4" w:space="0" w:color="auto"/>
              <w:right w:val="single" w:sz="4" w:space="0" w:color="auto"/>
            </w:tcBorders>
            <w:shd w:val="clear" w:color="auto" w:fill="auto"/>
            <w:noWrap/>
            <w:vAlign w:val="center"/>
            <w:hideMark/>
          </w:tcPr>
          <w:p w14:paraId="3638BB5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17.8%</w:t>
            </w:r>
          </w:p>
        </w:tc>
        <w:tc>
          <w:tcPr>
            <w:tcW w:w="862" w:type="dxa"/>
            <w:tcBorders>
              <w:top w:val="nil"/>
              <w:left w:val="nil"/>
              <w:bottom w:val="single" w:sz="4" w:space="0" w:color="auto"/>
              <w:right w:val="single" w:sz="4" w:space="0" w:color="auto"/>
            </w:tcBorders>
            <w:shd w:val="clear" w:color="auto" w:fill="auto"/>
            <w:noWrap/>
            <w:vAlign w:val="center"/>
            <w:hideMark/>
          </w:tcPr>
          <w:p w14:paraId="3977AF2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33.1%</w:t>
            </w:r>
          </w:p>
        </w:tc>
        <w:tc>
          <w:tcPr>
            <w:tcW w:w="862" w:type="dxa"/>
            <w:tcBorders>
              <w:top w:val="nil"/>
              <w:left w:val="nil"/>
              <w:bottom w:val="single" w:sz="4" w:space="0" w:color="auto"/>
              <w:right w:val="single" w:sz="4" w:space="0" w:color="auto"/>
            </w:tcBorders>
            <w:shd w:val="clear" w:color="000000" w:fill="C6E0B4"/>
            <w:noWrap/>
            <w:vAlign w:val="center"/>
            <w:hideMark/>
          </w:tcPr>
          <w:p w14:paraId="3F874E0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51.9%</w:t>
            </w:r>
          </w:p>
        </w:tc>
      </w:tr>
      <w:tr w:rsidR="00235F98" w:rsidRPr="00235F98" w14:paraId="5953147F"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4C7BD85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1938-40</w:t>
            </w:r>
          </w:p>
        </w:tc>
        <w:tc>
          <w:tcPr>
            <w:tcW w:w="861" w:type="dxa"/>
            <w:tcBorders>
              <w:top w:val="nil"/>
              <w:left w:val="nil"/>
              <w:bottom w:val="single" w:sz="4" w:space="0" w:color="auto"/>
              <w:right w:val="single" w:sz="4" w:space="0" w:color="auto"/>
            </w:tcBorders>
            <w:shd w:val="clear" w:color="auto" w:fill="auto"/>
            <w:noWrap/>
            <w:vAlign w:val="center"/>
            <w:hideMark/>
          </w:tcPr>
          <w:p w14:paraId="4626BCF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21.9%</w:t>
            </w:r>
          </w:p>
        </w:tc>
        <w:tc>
          <w:tcPr>
            <w:tcW w:w="861" w:type="dxa"/>
            <w:tcBorders>
              <w:top w:val="nil"/>
              <w:left w:val="nil"/>
              <w:bottom w:val="single" w:sz="4" w:space="0" w:color="auto"/>
              <w:right w:val="single" w:sz="4" w:space="0" w:color="auto"/>
            </w:tcBorders>
            <w:shd w:val="clear" w:color="auto" w:fill="auto"/>
            <w:noWrap/>
            <w:vAlign w:val="center"/>
            <w:hideMark/>
          </w:tcPr>
          <w:p w14:paraId="572C679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15.9%</w:t>
            </w:r>
          </w:p>
        </w:tc>
        <w:tc>
          <w:tcPr>
            <w:tcW w:w="861" w:type="dxa"/>
            <w:tcBorders>
              <w:top w:val="nil"/>
              <w:left w:val="nil"/>
              <w:bottom w:val="single" w:sz="4" w:space="0" w:color="auto"/>
              <w:right w:val="single" w:sz="4" w:space="0" w:color="auto"/>
            </w:tcBorders>
            <w:shd w:val="clear" w:color="auto" w:fill="auto"/>
            <w:noWrap/>
            <w:vAlign w:val="center"/>
            <w:hideMark/>
          </w:tcPr>
          <w:p w14:paraId="5D8FACA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23.2%</w:t>
            </w:r>
          </w:p>
        </w:tc>
        <w:tc>
          <w:tcPr>
            <w:tcW w:w="862" w:type="dxa"/>
            <w:tcBorders>
              <w:top w:val="nil"/>
              <w:left w:val="nil"/>
              <w:bottom w:val="single" w:sz="4" w:space="0" w:color="auto"/>
              <w:right w:val="single" w:sz="4" w:space="0" w:color="auto"/>
            </w:tcBorders>
            <w:shd w:val="clear" w:color="auto" w:fill="auto"/>
            <w:noWrap/>
            <w:vAlign w:val="center"/>
            <w:hideMark/>
          </w:tcPr>
          <w:p w14:paraId="6BDE77F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27.1%</w:t>
            </w:r>
          </w:p>
        </w:tc>
        <w:tc>
          <w:tcPr>
            <w:tcW w:w="862" w:type="dxa"/>
            <w:tcBorders>
              <w:top w:val="nil"/>
              <w:left w:val="nil"/>
              <w:bottom w:val="single" w:sz="4" w:space="0" w:color="auto"/>
              <w:right w:val="single" w:sz="4" w:space="0" w:color="auto"/>
            </w:tcBorders>
            <w:shd w:val="clear" w:color="000000" w:fill="C6E0B4"/>
            <w:noWrap/>
            <w:vAlign w:val="center"/>
            <w:hideMark/>
          </w:tcPr>
          <w:p w14:paraId="50AD835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45.3%</w:t>
            </w:r>
          </w:p>
        </w:tc>
        <w:tc>
          <w:tcPr>
            <w:tcW w:w="862" w:type="dxa"/>
            <w:tcBorders>
              <w:top w:val="nil"/>
              <w:left w:val="nil"/>
              <w:bottom w:val="single" w:sz="4" w:space="0" w:color="auto"/>
              <w:right w:val="single" w:sz="4" w:space="0" w:color="auto"/>
            </w:tcBorders>
            <w:shd w:val="clear" w:color="auto" w:fill="auto"/>
            <w:noWrap/>
            <w:vAlign w:val="center"/>
            <w:hideMark/>
          </w:tcPr>
          <w:p w14:paraId="2B94926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43.3%</w:t>
            </w:r>
          </w:p>
        </w:tc>
        <w:tc>
          <w:tcPr>
            <w:tcW w:w="862" w:type="dxa"/>
            <w:tcBorders>
              <w:top w:val="nil"/>
              <w:left w:val="nil"/>
              <w:bottom w:val="single" w:sz="4" w:space="0" w:color="auto"/>
              <w:right w:val="single" w:sz="4" w:space="0" w:color="auto"/>
            </w:tcBorders>
            <w:shd w:val="clear" w:color="auto" w:fill="auto"/>
            <w:noWrap/>
            <w:vAlign w:val="center"/>
            <w:hideMark/>
          </w:tcPr>
          <w:p w14:paraId="7DC20FB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39.6%</w:t>
            </w:r>
          </w:p>
        </w:tc>
        <w:tc>
          <w:tcPr>
            <w:tcW w:w="862" w:type="dxa"/>
            <w:tcBorders>
              <w:top w:val="nil"/>
              <w:left w:val="nil"/>
              <w:bottom w:val="single" w:sz="4" w:space="0" w:color="auto"/>
              <w:right w:val="single" w:sz="4" w:space="0" w:color="auto"/>
            </w:tcBorders>
            <w:shd w:val="clear" w:color="auto" w:fill="auto"/>
            <w:noWrap/>
            <w:vAlign w:val="center"/>
            <w:hideMark/>
          </w:tcPr>
          <w:p w14:paraId="18E1376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40.8%</w:t>
            </w:r>
          </w:p>
        </w:tc>
        <w:tc>
          <w:tcPr>
            <w:tcW w:w="862" w:type="dxa"/>
            <w:tcBorders>
              <w:top w:val="nil"/>
              <w:left w:val="nil"/>
              <w:bottom w:val="single" w:sz="4" w:space="0" w:color="auto"/>
              <w:right w:val="single" w:sz="4" w:space="0" w:color="auto"/>
            </w:tcBorders>
            <w:shd w:val="clear" w:color="auto" w:fill="auto"/>
            <w:noWrap/>
            <w:vAlign w:val="center"/>
            <w:hideMark/>
          </w:tcPr>
          <w:p w14:paraId="1316F0C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10.3%</w:t>
            </w:r>
          </w:p>
        </w:tc>
        <w:tc>
          <w:tcPr>
            <w:tcW w:w="862" w:type="dxa"/>
            <w:tcBorders>
              <w:top w:val="nil"/>
              <w:left w:val="nil"/>
              <w:bottom w:val="single" w:sz="4" w:space="0" w:color="auto"/>
              <w:right w:val="single" w:sz="4" w:space="0" w:color="auto"/>
            </w:tcBorders>
            <w:shd w:val="clear" w:color="000000" w:fill="B4C6E7"/>
            <w:noWrap/>
            <w:vAlign w:val="center"/>
            <w:hideMark/>
          </w:tcPr>
          <w:p w14:paraId="722039B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-8.0%</w:t>
            </w:r>
          </w:p>
        </w:tc>
      </w:tr>
      <w:tr w:rsidR="00235F98" w:rsidRPr="00235F98" w14:paraId="4F44054B"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63461F1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1941-43</w:t>
            </w:r>
          </w:p>
        </w:tc>
        <w:tc>
          <w:tcPr>
            <w:tcW w:w="861" w:type="dxa"/>
            <w:tcBorders>
              <w:top w:val="nil"/>
              <w:left w:val="nil"/>
              <w:bottom w:val="single" w:sz="4" w:space="0" w:color="auto"/>
              <w:right w:val="single" w:sz="4" w:space="0" w:color="auto"/>
            </w:tcBorders>
            <w:shd w:val="clear" w:color="000000" w:fill="B4C6E7"/>
            <w:noWrap/>
            <w:vAlign w:val="center"/>
            <w:hideMark/>
          </w:tcPr>
          <w:p w14:paraId="1423456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24.7%</w:t>
            </w:r>
          </w:p>
        </w:tc>
        <w:tc>
          <w:tcPr>
            <w:tcW w:w="861" w:type="dxa"/>
            <w:tcBorders>
              <w:top w:val="nil"/>
              <w:left w:val="nil"/>
              <w:bottom w:val="single" w:sz="4" w:space="0" w:color="auto"/>
              <w:right w:val="single" w:sz="4" w:space="0" w:color="auto"/>
            </w:tcBorders>
            <w:shd w:val="clear" w:color="auto" w:fill="auto"/>
            <w:noWrap/>
            <w:vAlign w:val="center"/>
            <w:hideMark/>
          </w:tcPr>
          <w:p w14:paraId="2829E23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54.8%</w:t>
            </w:r>
          </w:p>
        </w:tc>
        <w:tc>
          <w:tcPr>
            <w:tcW w:w="861" w:type="dxa"/>
            <w:tcBorders>
              <w:top w:val="nil"/>
              <w:left w:val="nil"/>
              <w:bottom w:val="single" w:sz="4" w:space="0" w:color="auto"/>
              <w:right w:val="single" w:sz="4" w:space="0" w:color="auto"/>
            </w:tcBorders>
            <w:shd w:val="clear" w:color="auto" w:fill="auto"/>
            <w:noWrap/>
            <w:vAlign w:val="center"/>
            <w:hideMark/>
          </w:tcPr>
          <w:p w14:paraId="69D876D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50.6%</w:t>
            </w:r>
          </w:p>
        </w:tc>
        <w:tc>
          <w:tcPr>
            <w:tcW w:w="862" w:type="dxa"/>
            <w:tcBorders>
              <w:top w:val="nil"/>
              <w:left w:val="nil"/>
              <w:bottom w:val="single" w:sz="4" w:space="0" w:color="auto"/>
              <w:right w:val="single" w:sz="4" w:space="0" w:color="auto"/>
            </w:tcBorders>
            <w:shd w:val="clear" w:color="auto" w:fill="auto"/>
            <w:noWrap/>
            <w:vAlign w:val="center"/>
            <w:hideMark/>
          </w:tcPr>
          <w:p w14:paraId="30537FD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51.5%</w:t>
            </w:r>
          </w:p>
        </w:tc>
        <w:tc>
          <w:tcPr>
            <w:tcW w:w="862" w:type="dxa"/>
            <w:tcBorders>
              <w:top w:val="nil"/>
              <w:left w:val="nil"/>
              <w:bottom w:val="single" w:sz="4" w:space="0" w:color="auto"/>
              <w:right w:val="single" w:sz="4" w:space="0" w:color="auto"/>
            </w:tcBorders>
            <w:shd w:val="clear" w:color="auto" w:fill="auto"/>
            <w:noWrap/>
            <w:vAlign w:val="center"/>
            <w:hideMark/>
          </w:tcPr>
          <w:p w14:paraId="0E5CAA1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62.7%</w:t>
            </w:r>
          </w:p>
        </w:tc>
        <w:tc>
          <w:tcPr>
            <w:tcW w:w="862" w:type="dxa"/>
            <w:tcBorders>
              <w:top w:val="nil"/>
              <w:left w:val="nil"/>
              <w:bottom w:val="single" w:sz="4" w:space="0" w:color="auto"/>
              <w:right w:val="single" w:sz="4" w:space="0" w:color="auto"/>
            </w:tcBorders>
            <w:shd w:val="clear" w:color="auto" w:fill="auto"/>
            <w:noWrap/>
            <w:vAlign w:val="center"/>
            <w:hideMark/>
          </w:tcPr>
          <w:p w14:paraId="13F4CF7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56.9%</w:t>
            </w:r>
          </w:p>
        </w:tc>
        <w:tc>
          <w:tcPr>
            <w:tcW w:w="862" w:type="dxa"/>
            <w:tcBorders>
              <w:top w:val="nil"/>
              <w:left w:val="nil"/>
              <w:bottom w:val="single" w:sz="4" w:space="0" w:color="auto"/>
              <w:right w:val="single" w:sz="4" w:space="0" w:color="auto"/>
            </w:tcBorders>
            <w:shd w:val="clear" w:color="auto" w:fill="auto"/>
            <w:noWrap/>
            <w:vAlign w:val="center"/>
            <w:hideMark/>
          </w:tcPr>
          <w:p w14:paraId="31C74BF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99.2%</w:t>
            </w:r>
          </w:p>
        </w:tc>
        <w:tc>
          <w:tcPr>
            <w:tcW w:w="862" w:type="dxa"/>
            <w:tcBorders>
              <w:top w:val="nil"/>
              <w:left w:val="nil"/>
              <w:bottom w:val="single" w:sz="4" w:space="0" w:color="auto"/>
              <w:right w:val="single" w:sz="4" w:space="0" w:color="auto"/>
            </w:tcBorders>
            <w:shd w:val="clear" w:color="auto" w:fill="auto"/>
            <w:noWrap/>
            <w:vAlign w:val="center"/>
            <w:hideMark/>
          </w:tcPr>
          <w:p w14:paraId="45BB014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102.4%</w:t>
            </w:r>
          </w:p>
        </w:tc>
        <w:tc>
          <w:tcPr>
            <w:tcW w:w="862" w:type="dxa"/>
            <w:tcBorders>
              <w:top w:val="nil"/>
              <w:left w:val="nil"/>
              <w:bottom w:val="single" w:sz="4" w:space="0" w:color="auto"/>
              <w:right w:val="single" w:sz="4" w:space="0" w:color="auto"/>
            </w:tcBorders>
            <w:shd w:val="clear" w:color="auto" w:fill="auto"/>
            <w:noWrap/>
            <w:vAlign w:val="center"/>
            <w:hideMark/>
          </w:tcPr>
          <w:p w14:paraId="322BD40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125.9%</w:t>
            </w:r>
          </w:p>
        </w:tc>
        <w:tc>
          <w:tcPr>
            <w:tcW w:w="862" w:type="dxa"/>
            <w:tcBorders>
              <w:top w:val="nil"/>
              <w:left w:val="nil"/>
              <w:bottom w:val="single" w:sz="4" w:space="0" w:color="auto"/>
              <w:right w:val="single" w:sz="4" w:space="0" w:color="auto"/>
            </w:tcBorders>
            <w:shd w:val="clear" w:color="000000" w:fill="C6E0B4"/>
            <w:noWrap/>
            <w:vAlign w:val="center"/>
            <w:hideMark/>
          </w:tcPr>
          <w:p w14:paraId="56712FC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278.6%</w:t>
            </w:r>
          </w:p>
        </w:tc>
      </w:tr>
      <w:tr w:rsidR="00235F98" w:rsidRPr="00235F98" w14:paraId="705520C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7F8BFA1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1944-46</w:t>
            </w:r>
          </w:p>
        </w:tc>
        <w:tc>
          <w:tcPr>
            <w:tcW w:w="861" w:type="dxa"/>
            <w:tcBorders>
              <w:top w:val="nil"/>
              <w:left w:val="nil"/>
              <w:bottom w:val="single" w:sz="4" w:space="0" w:color="auto"/>
              <w:right w:val="single" w:sz="4" w:space="0" w:color="auto"/>
            </w:tcBorders>
            <w:shd w:val="clear" w:color="000000" w:fill="B4C6E7"/>
            <w:noWrap/>
            <w:vAlign w:val="center"/>
            <w:hideMark/>
          </w:tcPr>
          <w:p w14:paraId="380546A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45.2%</w:t>
            </w:r>
          </w:p>
        </w:tc>
        <w:tc>
          <w:tcPr>
            <w:tcW w:w="861" w:type="dxa"/>
            <w:tcBorders>
              <w:top w:val="nil"/>
              <w:left w:val="nil"/>
              <w:bottom w:val="single" w:sz="4" w:space="0" w:color="auto"/>
              <w:right w:val="single" w:sz="4" w:space="0" w:color="auto"/>
            </w:tcBorders>
            <w:shd w:val="clear" w:color="auto" w:fill="auto"/>
            <w:noWrap/>
            <w:vAlign w:val="center"/>
            <w:hideMark/>
          </w:tcPr>
          <w:p w14:paraId="3D734A0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72.9%</w:t>
            </w:r>
          </w:p>
        </w:tc>
        <w:tc>
          <w:tcPr>
            <w:tcW w:w="861" w:type="dxa"/>
            <w:tcBorders>
              <w:top w:val="nil"/>
              <w:left w:val="nil"/>
              <w:bottom w:val="single" w:sz="4" w:space="0" w:color="auto"/>
              <w:right w:val="single" w:sz="4" w:space="0" w:color="auto"/>
            </w:tcBorders>
            <w:shd w:val="clear" w:color="auto" w:fill="auto"/>
            <w:noWrap/>
            <w:vAlign w:val="center"/>
            <w:hideMark/>
          </w:tcPr>
          <w:p w14:paraId="0AECE47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77.7%</w:t>
            </w:r>
          </w:p>
        </w:tc>
        <w:tc>
          <w:tcPr>
            <w:tcW w:w="862" w:type="dxa"/>
            <w:tcBorders>
              <w:top w:val="nil"/>
              <w:left w:val="nil"/>
              <w:bottom w:val="single" w:sz="4" w:space="0" w:color="auto"/>
              <w:right w:val="single" w:sz="4" w:space="0" w:color="auto"/>
            </w:tcBorders>
            <w:shd w:val="clear" w:color="auto" w:fill="auto"/>
            <w:noWrap/>
            <w:vAlign w:val="center"/>
            <w:hideMark/>
          </w:tcPr>
          <w:p w14:paraId="3D045F0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91.2%</w:t>
            </w:r>
          </w:p>
        </w:tc>
        <w:tc>
          <w:tcPr>
            <w:tcW w:w="862" w:type="dxa"/>
            <w:tcBorders>
              <w:top w:val="nil"/>
              <w:left w:val="nil"/>
              <w:bottom w:val="single" w:sz="4" w:space="0" w:color="auto"/>
              <w:right w:val="single" w:sz="4" w:space="0" w:color="auto"/>
            </w:tcBorders>
            <w:shd w:val="clear" w:color="auto" w:fill="auto"/>
            <w:noWrap/>
            <w:vAlign w:val="center"/>
            <w:hideMark/>
          </w:tcPr>
          <w:p w14:paraId="6BBD535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92.8%</w:t>
            </w:r>
          </w:p>
        </w:tc>
        <w:tc>
          <w:tcPr>
            <w:tcW w:w="862" w:type="dxa"/>
            <w:tcBorders>
              <w:top w:val="nil"/>
              <w:left w:val="nil"/>
              <w:bottom w:val="single" w:sz="4" w:space="0" w:color="auto"/>
              <w:right w:val="single" w:sz="4" w:space="0" w:color="auto"/>
            </w:tcBorders>
            <w:shd w:val="clear" w:color="auto" w:fill="auto"/>
            <w:noWrap/>
            <w:vAlign w:val="center"/>
            <w:hideMark/>
          </w:tcPr>
          <w:p w14:paraId="5932663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108.5%</w:t>
            </w:r>
          </w:p>
        </w:tc>
        <w:tc>
          <w:tcPr>
            <w:tcW w:w="862" w:type="dxa"/>
            <w:tcBorders>
              <w:top w:val="nil"/>
              <w:left w:val="nil"/>
              <w:bottom w:val="single" w:sz="4" w:space="0" w:color="auto"/>
              <w:right w:val="single" w:sz="4" w:space="0" w:color="auto"/>
            </w:tcBorders>
            <w:shd w:val="clear" w:color="auto" w:fill="auto"/>
            <w:noWrap/>
            <w:vAlign w:val="center"/>
            <w:hideMark/>
          </w:tcPr>
          <w:p w14:paraId="7D87A4A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100.0%</w:t>
            </w:r>
          </w:p>
        </w:tc>
        <w:tc>
          <w:tcPr>
            <w:tcW w:w="862" w:type="dxa"/>
            <w:tcBorders>
              <w:top w:val="nil"/>
              <w:left w:val="nil"/>
              <w:bottom w:val="single" w:sz="4" w:space="0" w:color="auto"/>
              <w:right w:val="single" w:sz="4" w:space="0" w:color="auto"/>
            </w:tcBorders>
            <w:shd w:val="clear" w:color="auto" w:fill="auto"/>
            <w:noWrap/>
            <w:vAlign w:val="center"/>
            <w:hideMark/>
          </w:tcPr>
          <w:p w14:paraId="57C419E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114.4%</w:t>
            </w:r>
          </w:p>
        </w:tc>
        <w:tc>
          <w:tcPr>
            <w:tcW w:w="862" w:type="dxa"/>
            <w:tcBorders>
              <w:top w:val="nil"/>
              <w:left w:val="nil"/>
              <w:bottom w:val="single" w:sz="4" w:space="0" w:color="auto"/>
              <w:right w:val="single" w:sz="4" w:space="0" w:color="auto"/>
            </w:tcBorders>
            <w:shd w:val="clear" w:color="auto" w:fill="auto"/>
            <w:noWrap/>
            <w:vAlign w:val="center"/>
            <w:hideMark/>
          </w:tcPr>
          <w:p w14:paraId="19232D6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153.5%</w:t>
            </w:r>
          </w:p>
        </w:tc>
        <w:tc>
          <w:tcPr>
            <w:tcW w:w="862" w:type="dxa"/>
            <w:tcBorders>
              <w:top w:val="nil"/>
              <w:left w:val="nil"/>
              <w:bottom w:val="single" w:sz="4" w:space="0" w:color="auto"/>
              <w:right w:val="single" w:sz="4" w:space="0" w:color="auto"/>
            </w:tcBorders>
            <w:shd w:val="clear" w:color="000000" w:fill="C6E0B4"/>
            <w:noWrap/>
            <w:vAlign w:val="center"/>
            <w:hideMark/>
          </w:tcPr>
          <w:p w14:paraId="7591AAD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175.8%</w:t>
            </w:r>
          </w:p>
        </w:tc>
      </w:tr>
      <w:tr w:rsidR="00235F98" w:rsidRPr="00235F98" w14:paraId="0A58FE43"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CD73E3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1947-49</w:t>
            </w:r>
          </w:p>
        </w:tc>
        <w:tc>
          <w:tcPr>
            <w:tcW w:w="861" w:type="dxa"/>
            <w:tcBorders>
              <w:top w:val="nil"/>
              <w:left w:val="nil"/>
              <w:bottom w:val="single" w:sz="4" w:space="0" w:color="auto"/>
              <w:right w:val="single" w:sz="4" w:space="0" w:color="auto"/>
            </w:tcBorders>
            <w:shd w:val="clear" w:color="000000" w:fill="C6E0B4"/>
            <w:noWrap/>
            <w:vAlign w:val="center"/>
            <w:hideMark/>
          </w:tcPr>
          <w:p w14:paraId="3879DE2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29.8%</w:t>
            </w:r>
          </w:p>
        </w:tc>
        <w:tc>
          <w:tcPr>
            <w:tcW w:w="861" w:type="dxa"/>
            <w:tcBorders>
              <w:top w:val="nil"/>
              <w:left w:val="nil"/>
              <w:bottom w:val="single" w:sz="4" w:space="0" w:color="auto"/>
              <w:right w:val="single" w:sz="4" w:space="0" w:color="auto"/>
            </w:tcBorders>
            <w:shd w:val="clear" w:color="auto" w:fill="auto"/>
            <w:noWrap/>
            <w:vAlign w:val="center"/>
            <w:hideMark/>
          </w:tcPr>
          <w:p w14:paraId="364C5DC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26.3%</w:t>
            </w:r>
          </w:p>
        </w:tc>
        <w:tc>
          <w:tcPr>
            <w:tcW w:w="861" w:type="dxa"/>
            <w:tcBorders>
              <w:top w:val="nil"/>
              <w:left w:val="nil"/>
              <w:bottom w:val="single" w:sz="4" w:space="0" w:color="auto"/>
              <w:right w:val="single" w:sz="4" w:space="0" w:color="auto"/>
            </w:tcBorders>
            <w:shd w:val="clear" w:color="auto" w:fill="auto"/>
            <w:noWrap/>
            <w:vAlign w:val="center"/>
            <w:hideMark/>
          </w:tcPr>
          <w:p w14:paraId="2AB66C7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28.6%</w:t>
            </w:r>
          </w:p>
        </w:tc>
        <w:tc>
          <w:tcPr>
            <w:tcW w:w="862" w:type="dxa"/>
            <w:tcBorders>
              <w:top w:val="nil"/>
              <w:left w:val="nil"/>
              <w:bottom w:val="single" w:sz="4" w:space="0" w:color="auto"/>
              <w:right w:val="single" w:sz="4" w:space="0" w:color="auto"/>
            </w:tcBorders>
            <w:shd w:val="clear" w:color="auto" w:fill="auto"/>
            <w:noWrap/>
            <w:vAlign w:val="center"/>
            <w:hideMark/>
          </w:tcPr>
          <w:p w14:paraId="336AFA0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20.2%</w:t>
            </w:r>
          </w:p>
        </w:tc>
        <w:tc>
          <w:tcPr>
            <w:tcW w:w="862" w:type="dxa"/>
            <w:tcBorders>
              <w:top w:val="nil"/>
              <w:left w:val="nil"/>
              <w:bottom w:val="single" w:sz="4" w:space="0" w:color="auto"/>
              <w:right w:val="single" w:sz="4" w:space="0" w:color="auto"/>
            </w:tcBorders>
            <w:shd w:val="clear" w:color="auto" w:fill="auto"/>
            <w:noWrap/>
            <w:vAlign w:val="center"/>
            <w:hideMark/>
          </w:tcPr>
          <w:p w14:paraId="2A06A34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19.6%</w:t>
            </w:r>
          </w:p>
        </w:tc>
        <w:tc>
          <w:tcPr>
            <w:tcW w:w="862" w:type="dxa"/>
            <w:tcBorders>
              <w:top w:val="nil"/>
              <w:left w:val="nil"/>
              <w:bottom w:val="single" w:sz="4" w:space="0" w:color="auto"/>
              <w:right w:val="single" w:sz="4" w:space="0" w:color="auto"/>
            </w:tcBorders>
            <w:shd w:val="clear" w:color="auto" w:fill="auto"/>
            <w:noWrap/>
            <w:vAlign w:val="center"/>
            <w:hideMark/>
          </w:tcPr>
          <w:p w14:paraId="5BB1BDB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14.9%</w:t>
            </w:r>
          </w:p>
        </w:tc>
        <w:tc>
          <w:tcPr>
            <w:tcW w:w="862" w:type="dxa"/>
            <w:tcBorders>
              <w:top w:val="nil"/>
              <w:left w:val="nil"/>
              <w:bottom w:val="single" w:sz="4" w:space="0" w:color="auto"/>
              <w:right w:val="single" w:sz="4" w:space="0" w:color="auto"/>
            </w:tcBorders>
            <w:shd w:val="clear" w:color="auto" w:fill="auto"/>
            <w:noWrap/>
            <w:vAlign w:val="center"/>
            <w:hideMark/>
          </w:tcPr>
          <w:p w14:paraId="4CC906A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14.3%</w:t>
            </w:r>
          </w:p>
        </w:tc>
        <w:tc>
          <w:tcPr>
            <w:tcW w:w="862" w:type="dxa"/>
            <w:tcBorders>
              <w:top w:val="nil"/>
              <w:left w:val="nil"/>
              <w:bottom w:val="single" w:sz="4" w:space="0" w:color="auto"/>
              <w:right w:val="single" w:sz="4" w:space="0" w:color="auto"/>
            </w:tcBorders>
            <w:shd w:val="clear" w:color="000000" w:fill="B4C6E7"/>
            <w:noWrap/>
            <w:vAlign w:val="center"/>
            <w:hideMark/>
          </w:tcPr>
          <w:p w14:paraId="57110C5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6.0%</w:t>
            </w:r>
          </w:p>
        </w:tc>
        <w:tc>
          <w:tcPr>
            <w:tcW w:w="862" w:type="dxa"/>
            <w:tcBorders>
              <w:top w:val="nil"/>
              <w:left w:val="nil"/>
              <w:bottom w:val="single" w:sz="4" w:space="0" w:color="auto"/>
              <w:right w:val="single" w:sz="4" w:space="0" w:color="auto"/>
            </w:tcBorders>
            <w:shd w:val="clear" w:color="auto" w:fill="auto"/>
            <w:noWrap/>
            <w:vAlign w:val="center"/>
            <w:hideMark/>
          </w:tcPr>
          <w:p w14:paraId="441306A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6.8%</w:t>
            </w:r>
          </w:p>
        </w:tc>
        <w:tc>
          <w:tcPr>
            <w:tcW w:w="862" w:type="dxa"/>
            <w:tcBorders>
              <w:top w:val="nil"/>
              <w:left w:val="nil"/>
              <w:bottom w:val="single" w:sz="4" w:space="0" w:color="auto"/>
              <w:right w:val="single" w:sz="4" w:space="0" w:color="auto"/>
            </w:tcBorders>
            <w:shd w:val="clear" w:color="auto" w:fill="auto"/>
            <w:noWrap/>
            <w:vAlign w:val="center"/>
            <w:hideMark/>
          </w:tcPr>
          <w:p w14:paraId="28F2EC1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17.5%</w:t>
            </w:r>
          </w:p>
        </w:tc>
      </w:tr>
      <w:tr w:rsidR="00235F98" w:rsidRPr="00235F98" w14:paraId="54048A77"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31F0F2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1950-52</w:t>
            </w:r>
          </w:p>
        </w:tc>
        <w:tc>
          <w:tcPr>
            <w:tcW w:w="861" w:type="dxa"/>
            <w:tcBorders>
              <w:top w:val="nil"/>
              <w:left w:val="nil"/>
              <w:bottom w:val="single" w:sz="4" w:space="0" w:color="auto"/>
              <w:right w:val="single" w:sz="4" w:space="0" w:color="auto"/>
            </w:tcBorders>
            <w:shd w:val="clear" w:color="auto" w:fill="auto"/>
            <w:noWrap/>
            <w:vAlign w:val="center"/>
            <w:hideMark/>
          </w:tcPr>
          <w:p w14:paraId="2994471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78.7%</w:t>
            </w:r>
          </w:p>
        </w:tc>
        <w:tc>
          <w:tcPr>
            <w:tcW w:w="861" w:type="dxa"/>
            <w:tcBorders>
              <w:top w:val="nil"/>
              <w:left w:val="nil"/>
              <w:bottom w:val="single" w:sz="4" w:space="0" w:color="auto"/>
              <w:right w:val="single" w:sz="4" w:space="0" w:color="auto"/>
            </w:tcBorders>
            <w:shd w:val="clear" w:color="auto" w:fill="auto"/>
            <w:noWrap/>
            <w:vAlign w:val="center"/>
            <w:hideMark/>
          </w:tcPr>
          <w:p w14:paraId="38774E7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78.9%</w:t>
            </w:r>
          </w:p>
        </w:tc>
        <w:tc>
          <w:tcPr>
            <w:tcW w:w="861" w:type="dxa"/>
            <w:tcBorders>
              <w:top w:val="nil"/>
              <w:left w:val="nil"/>
              <w:bottom w:val="single" w:sz="4" w:space="0" w:color="auto"/>
              <w:right w:val="single" w:sz="4" w:space="0" w:color="auto"/>
            </w:tcBorders>
            <w:shd w:val="clear" w:color="auto" w:fill="auto"/>
            <w:noWrap/>
            <w:vAlign w:val="center"/>
            <w:hideMark/>
          </w:tcPr>
          <w:p w14:paraId="5409E54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72.2%</w:t>
            </w:r>
          </w:p>
        </w:tc>
        <w:tc>
          <w:tcPr>
            <w:tcW w:w="862" w:type="dxa"/>
            <w:tcBorders>
              <w:top w:val="nil"/>
              <w:left w:val="nil"/>
              <w:bottom w:val="single" w:sz="4" w:space="0" w:color="auto"/>
              <w:right w:val="single" w:sz="4" w:space="0" w:color="auto"/>
            </w:tcBorders>
            <w:shd w:val="clear" w:color="auto" w:fill="auto"/>
            <w:noWrap/>
            <w:vAlign w:val="center"/>
            <w:hideMark/>
          </w:tcPr>
          <w:p w14:paraId="1AAE8C0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71.4%</w:t>
            </w:r>
          </w:p>
        </w:tc>
        <w:tc>
          <w:tcPr>
            <w:tcW w:w="862" w:type="dxa"/>
            <w:tcBorders>
              <w:top w:val="nil"/>
              <w:left w:val="nil"/>
              <w:bottom w:val="single" w:sz="4" w:space="0" w:color="auto"/>
              <w:right w:val="single" w:sz="4" w:space="0" w:color="auto"/>
            </w:tcBorders>
            <w:shd w:val="clear" w:color="auto" w:fill="auto"/>
            <w:noWrap/>
            <w:vAlign w:val="center"/>
            <w:hideMark/>
          </w:tcPr>
          <w:p w14:paraId="353F705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74.2%</w:t>
            </w:r>
          </w:p>
        </w:tc>
        <w:tc>
          <w:tcPr>
            <w:tcW w:w="862" w:type="dxa"/>
            <w:tcBorders>
              <w:top w:val="nil"/>
              <w:left w:val="nil"/>
              <w:bottom w:val="single" w:sz="4" w:space="0" w:color="auto"/>
              <w:right w:val="single" w:sz="4" w:space="0" w:color="auto"/>
            </w:tcBorders>
            <w:shd w:val="clear" w:color="000000" w:fill="B4C6E7"/>
            <w:noWrap/>
            <w:vAlign w:val="center"/>
            <w:hideMark/>
          </w:tcPr>
          <w:p w14:paraId="5DC68EF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67.6%</w:t>
            </w:r>
          </w:p>
        </w:tc>
        <w:tc>
          <w:tcPr>
            <w:tcW w:w="862" w:type="dxa"/>
            <w:tcBorders>
              <w:top w:val="nil"/>
              <w:left w:val="nil"/>
              <w:bottom w:val="single" w:sz="4" w:space="0" w:color="auto"/>
              <w:right w:val="single" w:sz="4" w:space="0" w:color="auto"/>
            </w:tcBorders>
            <w:shd w:val="clear" w:color="000000" w:fill="C6E0B4"/>
            <w:noWrap/>
            <w:vAlign w:val="center"/>
            <w:hideMark/>
          </w:tcPr>
          <w:p w14:paraId="2567FBF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79.7%</w:t>
            </w:r>
          </w:p>
        </w:tc>
        <w:tc>
          <w:tcPr>
            <w:tcW w:w="862" w:type="dxa"/>
            <w:tcBorders>
              <w:top w:val="nil"/>
              <w:left w:val="nil"/>
              <w:bottom w:val="single" w:sz="4" w:space="0" w:color="auto"/>
              <w:right w:val="single" w:sz="4" w:space="0" w:color="auto"/>
            </w:tcBorders>
            <w:shd w:val="clear" w:color="auto" w:fill="auto"/>
            <w:noWrap/>
            <w:vAlign w:val="center"/>
            <w:hideMark/>
          </w:tcPr>
          <w:p w14:paraId="21390E5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73.5%</w:t>
            </w:r>
          </w:p>
        </w:tc>
        <w:tc>
          <w:tcPr>
            <w:tcW w:w="862" w:type="dxa"/>
            <w:tcBorders>
              <w:top w:val="nil"/>
              <w:left w:val="nil"/>
              <w:bottom w:val="single" w:sz="4" w:space="0" w:color="auto"/>
              <w:right w:val="single" w:sz="4" w:space="0" w:color="auto"/>
            </w:tcBorders>
            <w:shd w:val="clear" w:color="auto" w:fill="auto"/>
            <w:noWrap/>
            <w:vAlign w:val="center"/>
            <w:hideMark/>
          </w:tcPr>
          <w:p w14:paraId="24E7E58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70.6%</w:t>
            </w:r>
          </w:p>
        </w:tc>
        <w:tc>
          <w:tcPr>
            <w:tcW w:w="862" w:type="dxa"/>
            <w:tcBorders>
              <w:top w:val="nil"/>
              <w:left w:val="nil"/>
              <w:bottom w:val="single" w:sz="4" w:space="0" w:color="auto"/>
              <w:right w:val="single" w:sz="4" w:space="0" w:color="auto"/>
            </w:tcBorders>
            <w:shd w:val="clear" w:color="auto" w:fill="auto"/>
            <w:noWrap/>
            <w:vAlign w:val="center"/>
            <w:hideMark/>
          </w:tcPr>
          <w:p w14:paraId="6F5CBE7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69.6%</w:t>
            </w:r>
          </w:p>
        </w:tc>
      </w:tr>
      <w:tr w:rsidR="00235F98" w:rsidRPr="00235F98" w14:paraId="649E4B5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4D40D4F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1953-55</w:t>
            </w:r>
          </w:p>
        </w:tc>
        <w:tc>
          <w:tcPr>
            <w:tcW w:w="861" w:type="dxa"/>
            <w:tcBorders>
              <w:top w:val="nil"/>
              <w:left w:val="nil"/>
              <w:bottom w:val="single" w:sz="4" w:space="0" w:color="auto"/>
              <w:right w:val="single" w:sz="4" w:space="0" w:color="auto"/>
            </w:tcBorders>
            <w:shd w:val="clear" w:color="auto" w:fill="auto"/>
            <w:noWrap/>
            <w:vAlign w:val="center"/>
            <w:hideMark/>
          </w:tcPr>
          <w:p w14:paraId="4B36EA7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92.7%</w:t>
            </w:r>
          </w:p>
        </w:tc>
        <w:tc>
          <w:tcPr>
            <w:tcW w:w="861" w:type="dxa"/>
            <w:tcBorders>
              <w:top w:val="nil"/>
              <w:left w:val="nil"/>
              <w:bottom w:val="single" w:sz="4" w:space="0" w:color="auto"/>
              <w:right w:val="single" w:sz="4" w:space="0" w:color="auto"/>
            </w:tcBorders>
            <w:shd w:val="clear" w:color="auto" w:fill="auto"/>
            <w:noWrap/>
            <w:vAlign w:val="center"/>
            <w:hideMark/>
          </w:tcPr>
          <w:p w14:paraId="14CE805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79.0%</w:t>
            </w:r>
          </w:p>
        </w:tc>
        <w:tc>
          <w:tcPr>
            <w:tcW w:w="861" w:type="dxa"/>
            <w:tcBorders>
              <w:top w:val="nil"/>
              <w:left w:val="nil"/>
              <w:bottom w:val="single" w:sz="4" w:space="0" w:color="auto"/>
              <w:right w:val="single" w:sz="4" w:space="0" w:color="auto"/>
            </w:tcBorders>
            <w:shd w:val="clear" w:color="auto" w:fill="auto"/>
            <w:noWrap/>
            <w:vAlign w:val="center"/>
            <w:hideMark/>
          </w:tcPr>
          <w:p w14:paraId="511DAB7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88.7%</w:t>
            </w:r>
          </w:p>
        </w:tc>
        <w:tc>
          <w:tcPr>
            <w:tcW w:w="862" w:type="dxa"/>
            <w:tcBorders>
              <w:top w:val="nil"/>
              <w:left w:val="nil"/>
              <w:bottom w:val="single" w:sz="4" w:space="0" w:color="auto"/>
              <w:right w:val="single" w:sz="4" w:space="0" w:color="auto"/>
            </w:tcBorders>
            <w:shd w:val="clear" w:color="auto" w:fill="auto"/>
            <w:noWrap/>
            <w:vAlign w:val="center"/>
            <w:hideMark/>
          </w:tcPr>
          <w:p w14:paraId="7A48FB9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77.5%</w:t>
            </w:r>
          </w:p>
        </w:tc>
        <w:tc>
          <w:tcPr>
            <w:tcW w:w="862" w:type="dxa"/>
            <w:tcBorders>
              <w:top w:val="nil"/>
              <w:left w:val="nil"/>
              <w:bottom w:val="single" w:sz="4" w:space="0" w:color="auto"/>
              <w:right w:val="single" w:sz="4" w:space="0" w:color="auto"/>
            </w:tcBorders>
            <w:shd w:val="clear" w:color="auto" w:fill="auto"/>
            <w:noWrap/>
            <w:vAlign w:val="center"/>
            <w:hideMark/>
          </w:tcPr>
          <w:p w14:paraId="5CE851C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79.1%</w:t>
            </w:r>
          </w:p>
        </w:tc>
        <w:tc>
          <w:tcPr>
            <w:tcW w:w="862" w:type="dxa"/>
            <w:tcBorders>
              <w:top w:val="nil"/>
              <w:left w:val="nil"/>
              <w:bottom w:val="single" w:sz="4" w:space="0" w:color="auto"/>
              <w:right w:val="single" w:sz="4" w:space="0" w:color="auto"/>
            </w:tcBorders>
            <w:shd w:val="clear" w:color="auto" w:fill="auto"/>
            <w:noWrap/>
            <w:vAlign w:val="center"/>
            <w:hideMark/>
          </w:tcPr>
          <w:p w14:paraId="57971B2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93.8%</w:t>
            </w:r>
          </w:p>
        </w:tc>
        <w:tc>
          <w:tcPr>
            <w:tcW w:w="862" w:type="dxa"/>
            <w:tcBorders>
              <w:top w:val="nil"/>
              <w:left w:val="nil"/>
              <w:bottom w:val="single" w:sz="4" w:space="0" w:color="auto"/>
              <w:right w:val="single" w:sz="4" w:space="0" w:color="auto"/>
            </w:tcBorders>
            <w:shd w:val="clear" w:color="auto" w:fill="auto"/>
            <w:noWrap/>
            <w:vAlign w:val="center"/>
            <w:hideMark/>
          </w:tcPr>
          <w:p w14:paraId="5AFAC1A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81.9%</w:t>
            </w:r>
          </w:p>
        </w:tc>
        <w:tc>
          <w:tcPr>
            <w:tcW w:w="862" w:type="dxa"/>
            <w:tcBorders>
              <w:top w:val="nil"/>
              <w:left w:val="nil"/>
              <w:bottom w:val="single" w:sz="4" w:space="0" w:color="auto"/>
              <w:right w:val="single" w:sz="4" w:space="0" w:color="auto"/>
            </w:tcBorders>
            <w:shd w:val="clear" w:color="000000" w:fill="B4C6E7"/>
            <w:noWrap/>
            <w:vAlign w:val="center"/>
            <w:hideMark/>
          </w:tcPr>
          <w:p w14:paraId="60E2F20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69.6%</w:t>
            </w:r>
          </w:p>
        </w:tc>
        <w:tc>
          <w:tcPr>
            <w:tcW w:w="862" w:type="dxa"/>
            <w:tcBorders>
              <w:top w:val="nil"/>
              <w:left w:val="nil"/>
              <w:bottom w:val="single" w:sz="4" w:space="0" w:color="auto"/>
              <w:right w:val="single" w:sz="4" w:space="0" w:color="auto"/>
            </w:tcBorders>
            <w:shd w:val="clear" w:color="auto" w:fill="auto"/>
            <w:noWrap/>
            <w:vAlign w:val="center"/>
            <w:hideMark/>
          </w:tcPr>
          <w:p w14:paraId="7D6B439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87.5%</w:t>
            </w:r>
          </w:p>
        </w:tc>
        <w:tc>
          <w:tcPr>
            <w:tcW w:w="862" w:type="dxa"/>
            <w:tcBorders>
              <w:top w:val="nil"/>
              <w:left w:val="nil"/>
              <w:bottom w:val="single" w:sz="4" w:space="0" w:color="auto"/>
              <w:right w:val="single" w:sz="4" w:space="0" w:color="auto"/>
            </w:tcBorders>
            <w:shd w:val="clear" w:color="000000" w:fill="C6E0B4"/>
            <w:noWrap/>
            <w:vAlign w:val="center"/>
            <w:hideMark/>
          </w:tcPr>
          <w:p w14:paraId="170CE44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94.5%</w:t>
            </w:r>
          </w:p>
        </w:tc>
      </w:tr>
      <w:tr w:rsidR="00235F98" w:rsidRPr="00235F98" w14:paraId="4DE708D2"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7BD106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1956-58</w:t>
            </w:r>
          </w:p>
        </w:tc>
        <w:tc>
          <w:tcPr>
            <w:tcW w:w="861" w:type="dxa"/>
            <w:tcBorders>
              <w:top w:val="nil"/>
              <w:left w:val="nil"/>
              <w:bottom w:val="single" w:sz="4" w:space="0" w:color="auto"/>
              <w:right w:val="single" w:sz="4" w:space="0" w:color="auto"/>
            </w:tcBorders>
            <w:shd w:val="clear" w:color="000000" w:fill="B4C6E7"/>
            <w:noWrap/>
            <w:vAlign w:val="center"/>
            <w:hideMark/>
          </w:tcPr>
          <w:p w14:paraId="1B2A804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37.8%</w:t>
            </w:r>
          </w:p>
        </w:tc>
        <w:tc>
          <w:tcPr>
            <w:tcW w:w="861" w:type="dxa"/>
            <w:tcBorders>
              <w:top w:val="nil"/>
              <w:left w:val="nil"/>
              <w:bottom w:val="single" w:sz="4" w:space="0" w:color="auto"/>
              <w:right w:val="single" w:sz="4" w:space="0" w:color="auto"/>
            </w:tcBorders>
            <w:shd w:val="clear" w:color="auto" w:fill="auto"/>
            <w:noWrap/>
            <w:vAlign w:val="center"/>
            <w:hideMark/>
          </w:tcPr>
          <w:p w14:paraId="488712B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51.9%</w:t>
            </w:r>
          </w:p>
        </w:tc>
        <w:tc>
          <w:tcPr>
            <w:tcW w:w="861" w:type="dxa"/>
            <w:tcBorders>
              <w:top w:val="nil"/>
              <w:left w:val="nil"/>
              <w:bottom w:val="single" w:sz="4" w:space="0" w:color="auto"/>
              <w:right w:val="single" w:sz="4" w:space="0" w:color="auto"/>
            </w:tcBorders>
            <w:shd w:val="clear" w:color="auto" w:fill="auto"/>
            <w:noWrap/>
            <w:vAlign w:val="center"/>
            <w:hideMark/>
          </w:tcPr>
          <w:p w14:paraId="00E676F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44.2%</w:t>
            </w:r>
          </w:p>
        </w:tc>
        <w:tc>
          <w:tcPr>
            <w:tcW w:w="862" w:type="dxa"/>
            <w:tcBorders>
              <w:top w:val="nil"/>
              <w:left w:val="nil"/>
              <w:bottom w:val="single" w:sz="4" w:space="0" w:color="auto"/>
              <w:right w:val="single" w:sz="4" w:space="0" w:color="auto"/>
            </w:tcBorders>
            <w:shd w:val="clear" w:color="auto" w:fill="auto"/>
            <w:noWrap/>
            <w:vAlign w:val="center"/>
            <w:hideMark/>
          </w:tcPr>
          <w:p w14:paraId="246E8BD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55.3%</w:t>
            </w:r>
          </w:p>
        </w:tc>
        <w:tc>
          <w:tcPr>
            <w:tcW w:w="862" w:type="dxa"/>
            <w:tcBorders>
              <w:top w:val="nil"/>
              <w:left w:val="nil"/>
              <w:bottom w:val="single" w:sz="4" w:space="0" w:color="auto"/>
              <w:right w:val="single" w:sz="4" w:space="0" w:color="auto"/>
            </w:tcBorders>
            <w:shd w:val="clear" w:color="auto" w:fill="auto"/>
            <w:noWrap/>
            <w:vAlign w:val="center"/>
            <w:hideMark/>
          </w:tcPr>
          <w:p w14:paraId="3FF7941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45.1%</w:t>
            </w:r>
          </w:p>
        </w:tc>
        <w:tc>
          <w:tcPr>
            <w:tcW w:w="862" w:type="dxa"/>
            <w:tcBorders>
              <w:top w:val="nil"/>
              <w:left w:val="nil"/>
              <w:bottom w:val="single" w:sz="4" w:space="0" w:color="auto"/>
              <w:right w:val="single" w:sz="4" w:space="0" w:color="auto"/>
            </w:tcBorders>
            <w:shd w:val="clear" w:color="auto" w:fill="auto"/>
            <w:noWrap/>
            <w:vAlign w:val="center"/>
            <w:hideMark/>
          </w:tcPr>
          <w:p w14:paraId="17F92BA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35.4%</w:t>
            </w:r>
          </w:p>
        </w:tc>
        <w:tc>
          <w:tcPr>
            <w:tcW w:w="862" w:type="dxa"/>
            <w:tcBorders>
              <w:top w:val="nil"/>
              <w:left w:val="nil"/>
              <w:bottom w:val="single" w:sz="4" w:space="0" w:color="auto"/>
              <w:right w:val="single" w:sz="4" w:space="0" w:color="auto"/>
            </w:tcBorders>
            <w:shd w:val="clear" w:color="auto" w:fill="auto"/>
            <w:noWrap/>
            <w:vAlign w:val="center"/>
            <w:hideMark/>
          </w:tcPr>
          <w:p w14:paraId="4D0CA06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51.6%</w:t>
            </w:r>
          </w:p>
        </w:tc>
        <w:tc>
          <w:tcPr>
            <w:tcW w:w="862" w:type="dxa"/>
            <w:tcBorders>
              <w:top w:val="nil"/>
              <w:left w:val="nil"/>
              <w:bottom w:val="single" w:sz="4" w:space="0" w:color="auto"/>
              <w:right w:val="single" w:sz="4" w:space="0" w:color="auto"/>
            </w:tcBorders>
            <w:shd w:val="clear" w:color="auto" w:fill="auto"/>
            <w:noWrap/>
            <w:vAlign w:val="center"/>
            <w:hideMark/>
          </w:tcPr>
          <w:p w14:paraId="7872571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41.6%</w:t>
            </w:r>
          </w:p>
        </w:tc>
        <w:tc>
          <w:tcPr>
            <w:tcW w:w="862" w:type="dxa"/>
            <w:tcBorders>
              <w:top w:val="nil"/>
              <w:left w:val="nil"/>
              <w:bottom w:val="single" w:sz="4" w:space="0" w:color="auto"/>
              <w:right w:val="single" w:sz="4" w:space="0" w:color="auto"/>
            </w:tcBorders>
            <w:shd w:val="clear" w:color="000000" w:fill="C6E0B4"/>
            <w:noWrap/>
            <w:vAlign w:val="center"/>
            <w:hideMark/>
          </w:tcPr>
          <w:p w14:paraId="558539F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55.7%</w:t>
            </w:r>
          </w:p>
        </w:tc>
        <w:tc>
          <w:tcPr>
            <w:tcW w:w="862" w:type="dxa"/>
            <w:tcBorders>
              <w:top w:val="nil"/>
              <w:left w:val="nil"/>
              <w:bottom w:val="single" w:sz="4" w:space="0" w:color="auto"/>
              <w:right w:val="single" w:sz="4" w:space="0" w:color="auto"/>
            </w:tcBorders>
            <w:shd w:val="clear" w:color="auto" w:fill="auto"/>
            <w:noWrap/>
            <w:vAlign w:val="center"/>
            <w:hideMark/>
          </w:tcPr>
          <w:p w14:paraId="730CD22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38.9%</w:t>
            </w:r>
          </w:p>
        </w:tc>
      </w:tr>
      <w:tr w:rsidR="00235F98" w:rsidRPr="00235F98" w14:paraId="470E7902"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34A346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1959-61</w:t>
            </w:r>
          </w:p>
        </w:tc>
        <w:tc>
          <w:tcPr>
            <w:tcW w:w="861" w:type="dxa"/>
            <w:tcBorders>
              <w:top w:val="nil"/>
              <w:left w:val="nil"/>
              <w:bottom w:val="single" w:sz="4" w:space="0" w:color="auto"/>
              <w:right w:val="single" w:sz="4" w:space="0" w:color="auto"/>
            </w:tcBorders>
            <w:shd w:val="clear" w:color="auto" w:fill="auto"/>
            <w:noWrap/>
            <w:vAlign w:val="center"/>
            <w:hideMark/>
          </w:tcPr>
          <w:p w14:paraId="40CA5F7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42.4%</w:t>
            </w:r>
          </w:p>
        </w:tc>
        <w:tc>
          <w:tcPr>
            <w:tcW w:w="861" w:type="dxa"/>
            <w:tcBorders>
              <w:top w:val="nil"/>
              <w:left w:val="nil"/>
              <w:bottom w:val="single" w:sz="4" w:space="0" w:color="auto"/>
              <w:right w:val="single" w:sz="4" w:space="0" w:color="auto"/>
            </w:tcBorders>
            <w:shd w:val="clear" w:color="auto" w:fill="auto"/>
            <w:noWrap/>
            <w:vAlign w:val="center"/>
            <w:hideMark/>
          </w:tcPr>
          <w:p w14:paraId="2EBE1E1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47.0%</w:t>
            </w:r>
          </w:p>
        </w:tc>
        <w:tc>
          <w:tcPr>
            <w:tcW w:w="861" w:type="dxa"/>
            <w:tcBorders>
              <w:top w:val="nil"/>
              <w:left w:val="nil"/>
              <w:bottom w:val="single" w:sz="4" w:space="0" w:color="auto"/>
              <w:right w:val="single" w:sz="4" w:space="0" w:color="auto"/>
            </w:tcBorders>
            <w:shd w:val="clear" w:color="000000" w:fill="C6E0B4"/>
            <w:noWrap/>
            <w:vAlign w:val="center"/>
            <w:hideMark/>
          </w:tcPr>
          <w:p w14:paraId="4E9556D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53.6%</w:t>
            </w:r>
          </w:p>
        </w:tc>
        <w:tc>
          <w:tcPr>
            <w:tcW w:w="862" w:type="dxa"/>
            <w:tcBorders>
              <w:top w:val="nil"/>
              <w:left w:val="nil"/>
              <w:bottom w:val="single" w:sz="4" w:space="0" w:color="auto"/>
              <w:right w:val="single" w:sz="4" w:space="0" w:color="auto"/>
            </w:tcBorders>
            <w:shd w:val="clear" w:color="auto" w:fill="auto"/>
            <w:noWrap/>
            <w:vAlign w:val="center"/>
            <w:hideMark/>
          </w:tcPr>
          <w:p w14:paraId="52311A9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51.0%</w:t>
            </w:r>
          </w:p>
        </w:tc>
        <w:tc>
          <w:tcPr>
            <w:tcW w:w="862" w:type="dxa"/>
            <w:tcBorders>
              <w:top w:val="nil"/>
              <w:left w:val="nil"/>
              <w:bottom w:val="single" w:sz="4" w:space="0" w:color="auto"/>
              <w:right w:val="single" w:sz="4" w:space="0" w:color="auto"/>
            </w:tcBorders>
            <w:shd w:val="clear" w:color="auto" w:fill="auto"/>
            <w:noWrap/>
            <w:vAlign w:val="center"/>
            <w:hideMark/>
          </w:tcPr>
          <w:p w14:paraId="40D624A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51.6%</w:t>
            </w:r>
          </w:p>
        </w:tc>
        <w:tc>
          <w:tcPr>
            <w:tcW w:w="862" w:type="dxa"/>
            <w:tcBorders>
              <w:top w:val="nil"/>
              <w:left w:val="nil"/>
              <w:bottom w:val="single" w:sz="4" w:space="0" w:color="auto"/>
              <w:right w:val="single" w:sz="4" w:space="0" w:color="auto"/>
            </w:tcBorders>
            <w:shd w:val="clear" w:color="auto" w:fill="auto"/>
            <w:noWrap/>
            <w:vAlign w:val="center"/>
            <w:hideMark/>
          </w:tcPr>
          <w:p w14:paraId="724979B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45.0%</w:t>
            </w:r>
          </w:p>
        </w:tc>
        <w:tc>
          <w:tcPr>
            <w:tcW w:w="862" w:type="dxa"/>
            <w:tcBorders>
              <w:top w:val="nil"/>
              <w:left w:val="nil"/>
              <w:bottom w:val="single" w:sz="4" w:space="0" w:color="auto"/>
              <w:right w:val="single" w:sz="4" w:space="0" w:color="auto"/>
            </w:tcBorders>
            <w:shd w:val="clear" w:color="auto" w:fill="auto"/>
            <w:noWrap/>
            <w:vAlign w:val="center"/>
            <w:hideMark/>
          </w:tcPr>
          <w:p w14:paraId="07CFCAF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47.2%</w:t>
            </w:r>
          </w:p>
        </w:tc>
        <w:tc>
          <w:tcPr>
            <w:tcW w:w="862" w:type="dxa"/>
            <w:tcBorders>
              <w:top w:val="nil"/>
              <w:left w:val="nil"/>
              <w:bottom w:val="single" w:sz="4" w:space="0" w:color="auto"/>
              <w:right w:val="single" w:sz="4" w:space="0" w:color="auto"/>
            </w:tcBorders>
            <w:shd w:val="clear" w:color="auto" w:fill="auto"/>
            <w:noWrap/>
            <w:vAlign w:val="center"/>
            <w:hideMark/>
          </w:tcPr>
          <w:p w14:paraId="49A9F28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49.8%</w:t>
            </w:r>
          </w:p>
        </w:tc>
        <w:tc>
          <w:tcPr>
            <w:tcW w:w="862" w:type="dxa"/>
            <w:tcBorders>
              <w:top w:val="nil"/>
              <w:left w:val="nil"/>
              <w:bottom w:val="single" w:sz="4" w:space="0" w:color="auto"/>
              <w:right w:val="single" w:sz="4" w:space="0" w:color="auto"/>
            </w:tcBorders>
            <w:shd w:val="clear" w:color="auto" w:fill="auto"/>
            <w:noWrap/>
            <w:vAlign w:val="center"/>
            <w:hideMark/>
          </w:tcPr>
          <w:p w14:paraId="17CA9AA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50.6%</w:t>
            </w:r>
          </w:p>
        </w:tc>
        <w:tc>
          <w:tcPr>
            <w:tcW w:w="862" w:type="dxa"/>
            <w:tcBorders>
              <w:top w:val="nil"/>
              <w:left w:val="nil"/>
              <w:bottom w:val="single" w:sz="4" w:space="0" w:color="auto"/>
              <w:right w:val="single" w:sz="4" w:space="0" w:color="auto"/>
            </w:tcBorders>
            <w:shd w:val="clear" w:color="000000" w:fill="B4C6E7"/>
            <w:noWrap/>
            <w:vAlign w:val="center"/>
            <w:hideMark/>
          </w:tcPr>
          <w:p w14:paraId="529C08E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40.4%</w:t>
            </w:r>
          </w:p>
        </w:tc>
      </w:tr>
      <w:tr w:rsidR="00235F98" w:rsidRPr="00235F98" w14:paraId="3E9C824F"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1451B9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1962-64</w:t>
            </w:r>
          </w:p>
        </w:tc>
        <w:tc>
          <w:tcPr>
            <w:tcW w:w="861" w:type="dxa"/>
            <w:tcBorders>
              <w:top w:val="nil"/>
              <w:left w:val="nil"/>
              <w:bottom w:val="single" w:sz="4" w:space="0" w:color="auto"/>
              <w:right w:val="single" w:sz="4" w:space="0" w:color="auto"/>
            </w:tcBorders>
            <w:shd w:val="clear" w:color="000000" w:fill="C6E0B4"/>
            <w:noWrap/>
            <w:vAlign w:val="center"/>
            <w:hideMark/>
          </w:tcPr>
          <w:p w14:paraId="233F5B5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29.6%</w:t>
            </w:r>
          </w:p>
        </w:tc>
        <w:tc>
          <w:tcPr>
            <w:tcW w:w="861" w:type="dxa"/>
            <w:tcBorders>
              <w:top w:val="nil"/>
              <w:left w:val="nil"/>
              <w:bottom w:val="single" w:sz="4" w:space="0" w:color="auto"/>
              <w:right w:val="single" w:sz="4" w:space="0" w:color="auto"/>
            </w:tcBorders>
            <w:shd w:val="clear" w:color="auto" w:fill="auto"/>
            <w:noWrap/>
            <w:vAlign w:val="center"/>
            <w:hideMark/>
          </w:tcPr>
          <w:p w14:paraId="50A03EB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25.4%</w:t>
            </w:r>
          </w:p>
        </w:tc>
        <w:tc>
          <w:tcPr>
            <w:tcW w:w="861" w:type="dxa"/>
            <w:tcBorders>
              <w:top w:val="nil"/>
              <w:left w:val="nil"/>
              <w:bottom w:val="single" w:sz="4" w:space="0" w:color="auto"/>
              <w:right w:val="single" w:sz="4" w:space="0" w:color="auto"/>
            </w:tcBorders>
            <w:shd w:val="clear" w:color="auto" w:fill="auto"/>
            <w:noWrap/>
            <w:vAlign w:val="center"/>
            <w:hideMark/>
          </w:tcPr>
          <w:p w14:paraId="2E930D6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23.0%</w:t>
            </w:r>
          </w:p>
        </w:tc>
        <w:tc>
          <w:tcPr>
            <w:tcW w:w="862" w:type="dxa"/>
            <w:tcBorders>
              <w:top w:val="nil"/>
              <w:left w:val="nil"/>
              <w:bottom w:val="single" w:sz="4" w:space="0" w:color="auto"/>
              <w:right w:val="single" w:sz="4" w:space="0" w:color="auto"/>
            </w:tcBorders>
            <w:shd w:val="clear" w:color="auto" w:fill="auto"/>
            <w:noWrap/>
            <w:vAlign w:val="center"/>
            <w:hideMark/>
          </w:tcPr>
          <w:p w14:paraId="5A77271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18.5%</w:t>
            </w:r>
          </w:p>
        </w:tc>
        <w:tc>
          <w:tcPr>
            <w:tcW w:w="862" w:type="dxa"/>
            <w:tcBorders>
              <w:top w:val="nil"/>
              <w:left w:val="nil"/>
              <w:bottom w:val="single" w:sz="4" w:space="0" w:color="auto"/>
              <w:right w:val="single" w:sz="4" w:space="0" w:color="auto"/>
            </w:tcBorders>
            <w:shd w:val="clear" w:color="auto" w:fill="auto"/>
            <w:noWrap/>
            <w:vAlign w:val="center"/>
            <w:hideMark/>
          </w:tcPr>
          <w:p w14:paraId="2822F63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9.6%</w:t>
            </w:r>
          </w:p>
        </w:tc>
        <w:tc>
          <w:tcPr>
            <w:tcW w:w="862" w:type="dxa"/>
            <w:tcBorders>
              <w:top w:val="nil"/>
              <w:left w:val="nil"/>
              <w:bottom w:val="single" w:sz="4" w:space="0" w:color="auto"/>
              <w:right w:val="single" w:sz="4" w:space="0" w:color="auto"/>
            </w:tcBorders>
            <w:shd w:val="clear" w:color="auto" w:fill="auto"/>
            <w:noWrap/>
            <w:vAlign w:val="center"/>
            <w:hideMark/>
          </w:tcPr>
          <w:p w14:paraId="604D896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13.5%</w:t>
            </w:r>
          </w:p>
        </w:tc>
        <w:tc>
          <w:tcPr>
            <w:tcW w:w="862" w:type="dxa"/>
            <w:tcBorders>
              <w:top w:val="nil"/>
              <w:left w:val="nil"/>
              <w:bottom w:val="single" w:sz="4" w:space="0" w:color="auto"/>
              <w:right w:val="single" w:sz="4" w:space="0" w:color="auto"/>
            </w:tcBorders>
            <w:shd w:val="clear" w:color="auto" w:fill="auto"/>
            <w:noWrap/>
            <w:vAlign w:val="center"/>
            <w:hideMark/>
          </w:tcPr>
          <w:p w14:paraId="199D2F4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14.2%</w:t>
            </w:r>
          </w:p>
        </w:tc>
        <w:tc>
          <w:tcPr>
            <w:tcW w:w="862" w:type="dxa"/>
            <w:tcBorders>
              <w:top w:val="nil"/>
              <w:left w:val="nil"/>
              <w:bottom w:val="single" w:sz="4" w:space="0" w:color="auto"/>
              <w:right w:val="single" w:sz="4" w:space="0" w:color="auto"/>
            </w:tcBorders>
            <w:shd w:val="clear" w:color="auto" w:fill="auto"/>
            <w:noWrap/>
            <w:vAlign w:val="center"/>
            <w:hideMark/>
          </w:tcPr>
          <w:p w14:paraId="3E2C729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19.8%</w:t>
            </w:r>
          </w:p>
        </w:tc>
        <w:tc>
          <w:tcPr>
            <w:tcW w:w="862" w:type="dxa"/>
            <w:tcBorders>
              <w:top w:val="nil"/>
              <w:left w:val="nil"/>
              <w:bottom w:val="single" w:sz="4" w:space="0" w:color="auto"/>
              <w:right w:val="single" w:sz="4" w:space="0" w:color="auto"/>
            </w:tcBorders>
            <w:shd w:val="clear" w:color="000000" w:fill="B4C6E7"/>
            <w:noWrap/>
            <w:vAlign w:val="center"/>
            <w:hideMark/>
          </w:tcPr>
          <w:p w14:paraId="4A35E27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w:t>
            </w:r>
          </w:p>
        </w:tc>
        <w:tc>
          <w:tcPr>
            <w:tcW w:w="862" w:type="dxa"/>
            <w:tcBorders>
              <w:top w:val="nil"/>
              <w:left w:val="nil"/>
              <w:bottom w:val="single" w:sz="4" w:space="0" w:color="auto"/>
              <w:right w:val="single" w:sz="4" w:space="0" w:color="auto"/>
            </w:tcBorders>
            <w:shd w:val="clear" w:color="auto" w:fill="auto"/>
            <w:noWrap/>
            <w:vAlign w:val="center"/>
            <w:hideMark/>
          </w:tcPr>
          <w:p w14:paraId="103E3C5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14.8%</w:t>
            </w:r>
          </w:p>
        </w:tc>
      </w:tr>
      <w:tr w:rsidR="00235F98" w:rsidRPr="00235F98" w14:paraId="481D1E98"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53FE1D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1965-67</w:t>
            </w:r>
          </w:p>
        </w:tc>
        <w:tc>
          <w:tcPr>
            <w:tcW w:w="861" w:type="dxa"/>
            <w:tcBorders>
              <w:top w:val="nil"/>
              <w:left w:val="nil"/>
              <w:bottom w:val="single" w:sz="4" w:space="0" w:color="auto"/>
              <w:right w:val="single" w:sz="4" w:space="0" w:color="auto"/>
            </w:tcBorders>
            <w:shd w:val="clear" w:color="000000" w:fill="B4C6E7"/>
            <w:noWrap/>
            <w:vAlign w:val="center"/>
            <w:hideMark/>
          </w:tcPr>
          <w:p w14:paraId="4EC810C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19.2%</w:t>
            </w:r>
          </w:p>
        </w:tc>
        <w:tc>
          <w:tcPr>
            <w:tcW w:w="861" w:type="dxa"/>
            <w:tcBorders>
              <w:top w:val="nil"/>
              <w:left w:val="nil"/>
              <w:bottom w:val="single" w:sz="4" w:space="0" w:color="auto"/>
              <w:right w:val="single" w:sz="4" w:space="0" w:color="auto"/>
            </w:tcBorders>
            <w:shd w:val="clear" w:color="auto" w:fill="auto"/>
            <w:noWrap/>
            <w:vAlign w:val="center"/>
            <w:hideMark/>
          </w:tcPr>
          <w:p w14:paraId="6C3999E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35.8%</w:t>
            </w:r>
          </w:p>
        </w:tc>
        <w:tc>
          <w:tcPr>
            <w:tcW w:w="861" w:type="dxa"/>
            <w:tcBorders>
              <w:top w:val="nil"/>
              <w:left w:val="nil"/>
              <w:bottom w:val="single" w:sz="4" w:space="0" w:color="auto"/>
              <w:right w:val="single" w:sz="4" w:space="0" w:color="auto"/>
            </w:tcBorders>
            <w:shd w:val="clear" w:color="auto" w:fill="auto"/>
            <w:noWrap/>
            <w:vAlign w:val="center"/>
            <w:hideMark/>
          </w:tcPr>
          <w:p w14:paraId="78D248C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56.0%</w:t>
            </w:r>
          </w:p>
        </w:tc>
        <w:tc>
          <w:tcPr>
            <w:tcW w:w="862" w:type="dxa"/>
            <w:tcBorders>
              <w:top w:val="nil"/>
              <w:left w:val="nil"/>
              <w:bottom w:val="single" w:sz="4" w:space="0" w:color="auto"/>
              <w:right w:val="single" w:sz="4" w:space="0" w:color="auto"/>
            </w:tcBorders>
            <w:shd w:val="clear" w:color="auto" w:fill="auto"/>
            <w:noWrap/>
            <w:vAlign w:val="center"/>
            <w:hideMark/>
          </w:tcPr>
          <w:p w14:paraId="363EB88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69.7%</w:t>
            </w:r>
          </w:p>
        </w:tc>
        <w:tc>
          <w:tcPr>
            <w:tcW w:w="862" w:type="dxa"/>
            <w:tcBorders>
              <w:top w:val="nil"/>
              <w:left w:val="nil"/>
              <w:bottom w:val="single" w:sz="4" w:space="0" w:color="auto"/>
              <w:right w:val="single" w:sz="4" w:space="0" w:color="auto"/>
            </w:tcBorders>
            <w:shd w:val="clear" w:color="auto" w:fill="auto"/>
            <w:noWrap/>
            <w:vAlign w:val="center"/>
            <w:hideMark/>
          </w:tcPr>
          <w:p w14:paraId="1F3B1DB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85.8%</w:t>
            </w:r>
          </w:p>
        </w:tc>
        <w:tc>
          <w:tcPr>
            <w:tcW w:w="862" w:type="dxa"/>
            <w:tcBorders>
              <w:top w:val="nil"/>
              <w:left w:val="nil"/>
              <w:bottom w:val="single" w:sz="4" w:space="0" w:color="auto"/>
              <w:right w:val="single" w:sz="4" w:space="0" w:color="auto"/>
            </w:tcBorders>
            <w:shd w:val="clear" w:color="auto" w:fill="auto"/>
            <w:noWrap/>
            <w:vAlign w:val="center"/>
            <w:hideMark/>
          </w:tcPr>
          <w:p w14:paraId="39EEDDA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101.8%</w:t>
            </w:r>
          </w:p>
        </w:tc>
        <w:tc>
          <w:tcPr>
            <w:tcW w:w="862" w:type="dxa"/>
            <w:tcBorders>
              <w:top w:val="nil"/>
              <w:left w:val="nil"/>
              <w:bottom w:val="single" w:sz="4" w:space="0" w:color="auto"/>
              <w:right w:val="single" w:sz="4" w:space="0" w:color="auto"/>
            </w:tcBorders>
            <w:shd w:val="clear" w:color="auto" w:fill="auto"/>
            <w:noWrap/>
            <w:vAlign w:val="center"/>
            <w:hideMark/>
          </w:tcPr>
          <w:p w14:paraId="1BBB0F8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99.2%</w:t>
            </w:r>
          </w:p>
        </w:tc>
        <w:tc>
          <w:tcPr>
            <w:tcW w:w="862" w:type="dxa"/>
            <w:tcBorders>
              <w:top w:val="nil"/>
              <w:left w:val="nil"/>
              <w:bottom w:val="single" w:sz="4" w:space="0" w:color="auto"/>
              <w:right w:val="single" w:sz="4" w:space="0" w:color="auto"/>
            </w:tcBorders>
            <w:shd w:val="clear" w:color="auto" w:fill="auto"/>
            <w:noWrap/>
            <w:vAlign w:val="center"/>
            <w:hideMark/>
          </w:tcPr>
          <w:p w14:paraId="724FE4D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118.5%</w:t>
            </w:r>
          </w:p>
        </w:tc>
        <w:tc>
          <w:tcPr>
            <w:tcW w:w="862" w:type="dxa"/>
            <w:tcBorders>
              <w:top w:val="nil"/>
              <w:left w:val="nil"/>
              <w:bottom w:val="single" w:sz="4" w:space="0" w:color="auto"/>
              <w:right w:val="single" w:sz="4" w:space="0" w:color="auto"/>
            </w:tcBorders>
            <w:shd w:val="clear" w:color="auto" w:fill="auto"/>
            <w:noWrap/>
            <w:vAlign w:val="center"/>
            <w:hideMark/>
          </w:tcPr>
          <w:p w14:paraId="7E0BFA4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136.7%</w:t>
            </w:r>
          </w:p>
        </w:tc>
        <w:tc>
          <w:tcPr>
            <w:tcW w:w="862" w:type="dxa"/>
            <w:tcBorders>
              <w:top w:val="nil"/>
              <w:left w:val="nil"/>
              <w:bottom w:val="single" w:sz="4" w:space="0" w:color="auto"/>
              <w:right w:val="single" w:sz="4" w:space="0" w:color="auto"/>
            </w:tcBorders>
            <w:shd w:val="clear" w:color="000000" w:fill="C6E0B4"/>
            <w:noWrap/>
            <w:vAlign w:val="center"/>
            <w:hideMark/>
          </w:tcPr>
          <w:p w14:paraId="2C8D69B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175.7%</w:t>
            </w:r>
          </w:p>
        </w:tc>
      </w:tr>
      <w:tr w:rsidR="00235F98" w:rsidRPr="00235F98" w14:paraId="0071A5F1"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02B7EE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1968-70</w:t>
            </w:r>
          </w:p>
        </w:tc>
        <w:tc>
          <w:tcPr>
            <w:tcW w:w="861" w:type="dxa"/>
            <w:tcBorders>
              <w:top w:val="nil"/>
              <w:left w:val="nil"/>
              <w:bottom w:val="single" w:sz="4" w:space="0" w:color="auto"/>
              <w:right w:val="single" w:sz="4" w:space="0" w:color="auto"/>
            </w:tcBorders>
            <w:shd w:val="clear" w:color="auto" w:fill="auto"/>
            <w:noWrap/>
            <w:vAlign w:val="center"/>
            <w:hideMark/>
          </w:tcPr>
          <w:p w14:paraId="3FAFCA3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3.6%</w:t>
            </w:r>
          </w:p>
        </w:tc>
        <w:tc>
          <w:tcPr>
            <w:tcW w:w="861" w:type="dxa"/>
            <w:tcBorders>
              <w:top w:val="nil"/>
              <w:left w:val="nil"/>
              <w:bottom w:val="single" w:sz="4" w:space="0" w:color="auto"/>
              <w:right w:val="single" w:sz="4" w:space="0" w:color="auto"/>
            </w:tcBorders>
            <w:shd w:val="clear" w:color="auto" w:fill="auto"/>
            <w:noWrap/>
            <w:vAlign w:val="center"/>
            <w:hideMark/>
          </w:tcPr>
          <w:p w14:paraId="55ED949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w:t>
            </w:r>
          </w:p>
        </w:tc>
        <w:tc>
          <w:tcPr>
            <w:tcW w:w="861" w:type="dxa"/>
            <w:tcBorders>
              <w:top w:val="nil"/>
              <w:left w:val="nil"/>
              <w:bottom w:val="single" w:sz="4" w:space="0" w:color="auto"/>
              <w:right w:val="single" w:sz="4" w:space="0" w:color="auto"/>
            </w:tcBorders>
            <w:shd w:val="clear" w:color="000000" w:fill="C6E0B4"/>
            <w:noWrap/>
            <w:vAlign w:val="center"/>
            <w:hideMark/>
          </w:tcPr>
          <w:p w14:paraId="166970C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9.2%</w:t>
            </w:r>
          </w:p>
        </w:tc>
        <w:tc>
          <w:tcPr>
            <w:tcW w:w="862" w:type="dxa"/>
            <w:tcBorders>
              <w:top w:val="nil"/>
              <w:left w:val="nil"/>
              <w:bottom w:val="single" w:sz="4" w:space="0" w:color="auto"/>
              <w:right w:val="single" w:sz="4" w:space="0" w:color="auto"/>
            </w:tcBorders>
            <w:shd w:val="clear" w:color="auto" w:fill="auto"/>
            <w:noWrap/>
            <w:vAlign w:val="center"/>
            <w:hideMark/>
          </w:tcPr>
          <w:p w14:paraId="6618E7B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-8.3%</w:t>
            </w:r>
          </w:p>
        </w:tc>
        <w:tc>
          <w:tcPr>
            <w:tcW w:w="862" w:type="dxa"/>
            <w:tcBorders>
              <w:top w:val="nil"/>
              <w:left w:val="nil"/>
              <w:bottom w:val="single" w:sz="4" w:space="0" w:color="auto"/>
              <w:right w:val="single" w:sz="4" w:space="0" w:color="auto"/>
            </w:tcBorders>
            <w:shd w:val="clear" w:color="auto" w:fill="auto"/>
            <w:noWrap/>
            <w:vAlign w:val="center"/>
            <w:hideMark/>
          </w:tcPr>
          <w:p w14:paraId="647E851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-1.8%</w:t>
            </w:r>
          </w:p>
        </w:tc>
        <w:tc>
          <w:tcPr>
            <w:tcW w:w="862" w:type="dxa"/>
            <w:tcBorders>
              <w:top w:val="nil"/>
              <w:left w:val="nil"/>
              <w:bottom w:val="single" w:sz="4" w:space="0" w:color="auto"/>
              <w:right w:val="single" w:sz="4" w:space="0" w:color="auto"/>
            </w:tcBorders>
            <w:shd w:val="clear" w:color="auto" w:fill="auto"/>
            <w:noWrap/>
            <w:vAlign w:val="center"/>
            <w:hideMark/>
          </w:tcPr>
          <w:p w14:paraId="64C497D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-0.2%</w:t>
            </w:r>
          </w:p>
        </w:tc>
        <w:tc>
          <w:tcPr>
            <w:tcW w:w="862" w:type="dxa"/>
            <w:tcBorders>
              <w:top w:val="nil"/>
              <w:left w:val="nil"/>
              <w:bottom w:val="single" w:sz="4" w:space="0" w:color="auto"/>
              <w:right w:val="single" w:sz="4" w:space="0" w:color="auto"/>
            </w:tcBorders>
            <w:shd w:val="clear" w:color="auto" w:fill="auto"/>
            <w:noWrap/>
            <w:vAlign w:val="center"/>
            <w:hideMark/>
          </w:tcPr>
          <w:p w14:paraId="6503420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-13.6%</w:t>
            </w:r>
          </w:p>
        </w:tc>
        <w:tc>
          <w:tcPr>
            <w:tcW w:w="862" w:type="dxa"/>
            <w:tcBorders>
              <w:top w:val="nil"/>
              <w:left w:val="nil"/>
              <w:bottom w:val="single" w:sz="4" w:space="0" w:color="auto"/>
              <w:right w:val="single" w:sz="4" w:space="0" w:color="auto"/>
            </w:tcBorders>
            <w:shd w:val="clear" w:color="auto" w:fill="auto"/>
            <w:noWrap/>
            <w:vAlign w:val="center"/>
            <w:hideMark/>
          </w:tcPr>
          <w:p w14:paraId="490884E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-11.3%</w:t>
            </w:r>
          </w:p>
        </w:tc>
        <w:tc>
          <w:tcPr>
            <w:tcW w:w="862" w:type="dxa"/>
            <w:tcBorders>
              <w:top w:val="nil"/>
              <w:left w:val="nil"/>
              <w:bottom w:val="single" w:sz="4" w:space="0" w:color="auto"/>
              <w:right w:val="single" w:sz="4" w:space="0" w:color="auto"/>
            </w:tcBorders>
            <w:shd w:val="clear" w:color="000000" w:fill="B4C6E7"/>
            <w:noWrap/>
            <w:vAlign w:val="center"/>
            <w:hideMark/>
          </w:tcPr>
          <w:p w14:paraId="66DF1F2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-20.5%</w:t>
            </w:r>
          </w:p>
        </w:tc>
        <w:tc>
          <w:tcPr>
            <w:tcW w:w="862" w:type="dxa"/>
            <w:tcBorders>
              <w:top w:val="nil"/>
              <w:left w:val="nil"/>
              <w:bottom w:val="single" w:sz="4" w:space="0" w:color="auto"/>
              <w:right w:val="single" w:sz="4" w:space="0" w:color="auto"/>
            </w:tcBorders>
            <w:shd w:val="clear" w:color="auto" w:fill="auto"/>
            <w:noWrap/>
            <w:vAlign w:val="center"/>
            <w:hideMark/>
          </w:tcPr>
          <w:p w14:paraId="18BC075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-11.1%</w:t>
            </w:r>
          </w:p>
        </w:tc>
      </w:tr>
      <w:tr w:rsidR="00235F98" w:rsidRPr="00235F98" w14:paraId="6850F331"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2F7B72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1971-73</w:t>
            </w:r>
          </w:p>
        </w:tc>
        <w:tc>
          <w:tcPr>
            <w:tcW w:w="861" w:type="dxa"/>
            <w:tcBorders>
              <w:top w:val="nil"/>
              <w:left w:val="nil"/>
              <w:bottom w:val="single" w:sz="4" w:space="0" w:color="auto"/>
              <w:right w:val="single" w:sz="4" w:space="0" w:color="auto"/>
            </w:tcBorders>
            <w:shd w:val="clear" w:color="000000" w:fill="C6E0B4"/>
            <w:noWrap/>
            <w:vAlign w:val="center"/>
            <w:hideMark/>
          </w:tcPr>
          <w:p w14:paraId="143A8AF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22.4%</w:t>
            </w:r>
          </w:p>
        </w:tc>
        <w:tc>
          <w:tcPr>
            <w:tcW w:w="861" w:type="dxa"/>
            <w:tcBorders>
              <w:top w:val="nil"/>
              <w:left w:val="nil"/>
              <w:bottom w:val="single" w:sz="4" w:space="0" w:color="auto"/>
              <w:right w:val="single" w:sz="4" w:space="0" w:color="auto"/>
            </w:tcBorders>
            <w:shd w:val="clear" w:color="auto" w:fill="auto"/>
            <w:noWrap/>
            <w:vAlign w:val="center"/>
            <w:hideMark/>
          </w:tcPr>
          <w:p w14:paraId="24F220B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-1.2%</w:t>
            </w:r>
          </w:p>
        </w:tc>
        <w:tc>
          <w:tcPr>
            <w:tcW w:w="861" w:type="dxa"/>
            <w:tcBorders>
              <w:top w:val="nil"/>
              <w:left w:val="nil"/>
              <w:bottom w:val="single" w:sz="4" w:space="0" w:color="auto"/>
              <w:right w:val="single" w:sz="4" w:space="0" w:color="auto"/>
            </w:tcBorders>
            <w:shd w:val="clear" w:color="auto" w:fill="auto"/>
            <w:noWrap/>
            <w:vAlign w:val="center"/>
            <w:hideMark/>
          </w:tcPr>
          <w:p w14:paraId="77DE4C7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1.5%</w:t>
            </w:r>
          </w:p>
        </w:tc>
        <w:tc>
          <w:tcPr>
            <w:tcW w:w="862" w:type="dxa"/>
            <w:tcBorders>
              <w:top w:val="nil"/>
              <w:left w:val="nil"/>
              <w:bottom w:val="single" w:sz="4" w:space="0" w:color="auto"/>
              <w:right w:val="single" w:sz="4" w:space="0" w:color="auto"/>
            </w:tcBorders>
            <w:shd w:val="clear" w:color="auto" w:fill="auto"/>
            <w:noWrap/>
            <w:vAlign w:val="center"/>
            <w:hideMark/>
          </w:tcPr>
          <w:p w14:paraId="2629092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-0.7%</w:t>
            </w:r>
          </w:p>
        </w:tc>
        <w:tc>
          <w:tcPr>
            <w:tcW w:w="862" w:type="dxa"/>
            <w:tcBorders>
              <w:top w:val="nil"/>
              <w:left w:val="nil"/>
              <w:bottom w:val="single" w:sz="4" w:space="0" w:color="auto"/>
              <w:right w:val="single" w:sz="4" w:space="0" w:color="auto"/>
            </w:tcBorders>
            <w:shd w:val="clear" w:color="auto" w:fill="auto"/>
            <w:noWrap/>
            <w:vAlign w:val="center"/>
            <w:hideMark/>
          </w:tcPr>
          <w:p w14:paraId="0F4FEB3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-12.4%</w:t>
            </w:r>
          </w:p>
        </w:tc>
        <w:tc>
          <w:tcPr>
            <w:tcW w:w="862" w:type="dxa"/>
            <w:tcBorders>
              <w:top w:val="nil"/>
              <w:left w:val="nil"/>
              <w:bottom w:val="single" w:sz="4" w:space="0" w:color="auto"/>
              <w:right w:val="single" w:sz="4" w:space="0" w:color="auto"/>
            </w:tcBorders>
            <w:shd w:val="clear" w:color="auto" w:fill="auto"/>
            <w:noWrap/>
            <w:vAlign w:val="center"/>
            <w:hideMark/>
          </w:tcPr>
          <w:p w14:paraId="07FF679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-10.8%</w:t>
            </w:r>
          </w:p>
        </w:tc>
        <w:tc>
          <w:tcPr>
            <w:tcW w:w="862" w:type="dxa"/>
            <w:tcBorders>
              <w:top w:val="nil"/>
              <w:left w:val="nil"/>
              <w:bottom w:val="single" w:sz="4" w:space="0" w:color="auto"/>
              <w:right w:val="single" w:sz="4" w:space="0" w:color="auto"/>
            </w:tcBorders>
            <w:shd w:val="clear" w:color="auto" w:fill="auto"/>
            <w:noWrap/>
            <w:vAlign w:val="center"/>
            <w:hideMark/>
          </w:tcPr>
          <w:p w14:paraId="6C36A23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-19.5%</w:t>
            </w:r>
          </w:p>
        </w:tc>
        <w:tc>
          <w:tcPr>
            <w:tcW w:w="862" w:type="dxa"/>
            <w:tcBorders>
              <w:top w:val="nil"/>
              <w:left w:val="nil"/>
              <w:bottom w:val="single" w:sz="4" w:space="0" w:color="auto"/>
              <w:right w:val="single" w:sz="4" w:space="0" w:color="auto"/>
            </w:tcBorders>
            <w:shd w:val="clear" w:color="auto" w:fill="auto"/>
            <w:noWrap/>
            <w:vAlign w:val="center"/>
            <w:hideMark/>
          </w:tcPr>
          <w:p w14:paraId="06F9E9F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-22.6%</w:t>
            </w:r>
          </w:p>
        </w:tc>
        <w:tc>
          <w:tcPr>
            <w:tcW w:w="862" w:type="dxa"/>
            <w:tcBorders>
              <w:top w:val="nil"/>
              <w:left w:val="nil"/>
              <w:bottom w:val="single" w:sz="4" w:space="0" w:color="auto"/>
              <w:right w:val="single" w:sz="4" w:space="0" w:color="auto"/>
            </w:tcBorders>
            <w:shd w:val="clear" w:color="auto" w:fill="auto"/>
            <w:noWrap/>
            <w:vAlign w:val="center"/>
            <w:hideMark/>
          </w:tcPr>
          <w:p w14:paraId="3C9104B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-30.6%</w:t>
            </w:r>
          </w:p>
        </w:tc>
        <w:tc>
          <w:tcPr>
            <w:tcW w:w="862" w:type="dxa"/>
            <w:tcBorders>
              <w:top w:val="nil"/>
              <w:left w:val="nil"/>
              <w:bottom w:val="single" w:sz="4" w:space="0" w:color="auto"/>
              <w:right w:val="single" w:sz="4" w:space="0" w:color="auto"/>
            </w:tcBorders>
            <w:shd w:val="clear" w:color="000000" w:fill="B4C6E7"/>
            <w:noWrap/>
            <w:vAlign w:val="center"/>
            <w:hideMark/>
          </w:tcPr>
          <w:p w14:paraId="226DC5F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-31.7%</w:t>
            </w:r>
          </w:p>
        </w:tc>
      </w:tr>
      <w:tr w:rsidR="00235F98" w:rsidRPr="00235F98" w14:paraId="48B73267"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48E83C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1974-76</w:t>
            </w:r>
          </w:p>
        </w:tc>
        <w:tc>
          <w:tcPr>
            <w:tcW w:w="861" w:type="dxa"/>
            <w:tcBorders>
              <w:top w:val="nil"/>
              <w:left w:val="nil"/>
              <w:bottom w:val="single" w:sz="4" w:space="0" w:color="auto"/>
              <w:right w:val="single" w:sz="4" w:space="0" w:color="auto"/>
            </w:tcBorders>
            <w:shd w:val="clear" w:color="000000" w:fill="B4C6E7"/>
            <w:noWrap/>
            <w:vAlign w:val="center"/>
            <w:hideMark/>
          </w:tcPr>
          <w:p w14:paraId="6A6349F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14.4%</w:t>
            </w:r>
          </w:p>
        </w:tc>
        <w:tc>
          <w:tcPr>
            <w:tcW w:w="861" w:type="dxa"/>
            <w:tcBorders>
              <w:top w:val="nil"/>
              <w:left w:val="nil"/>
              <w:bottom w:val="single" w:sz="4" w:space="0" w:color="auto"/>
              <w:right w:val="single" w:sz="4" w:space="0" w:color="auto"/>
            </w:tcBorders>
            <w:shd w:val="clear" w:color="auto" w:fill="auto"/>
            <w:noWrap/>
            <w:vAlign w:val="center"/>
            <w:hideMark/>
          </w:tcPr>
          <w:p w14:paraId="7E19FB5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43.7%</w:t>
            </w:r>
          </w:p>
        </w:tc>
        <w:tc>
          <w:tcPr>
            <w:tcW w:w="861" w:type="dxa"/>
            <w:tcBorders>
              <w:top w:val="nil"/>
              <w:left w:val="nil"/>
              <w:bottom w:val="single" w:sz="4" w:space="0" w:color="auto"/>
              <w:right w:val="single" w:sz="4" w:space="0" w:color="auto"/>
            </w:tcBorders>
            <w:shd w:val="clear" w:color="auto" w:fill="auto"/>
            <w:noWrap/>
            <w:vAlign w:val="center"/>
            <w:hideMark/>
          </w:tcPr>
          <w:p w14:paraId="45CC650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60.0%</w:t>
            </w:r>
          </w:p>
        </w:tc>
        <w:tc>
          <w:tcPr>
            <w:tcW w:w="862" w:type="dxa"/>
            <w:tcBorders>
              <w:top w:val="nil"/>
              <w:left w:val="nil"/>
              <w:bottom w:val="single" w:sz="4" w:space="0" w:color="auto"/>
              <w:right w:val="single" w:sz="4" w:space="0" w:color="auto"/>
            </w:tcBorders>
            <w:shd w:val="clear" w:color="auto" w:fill="auto"/>
            <w:noWrap/>
            <w:vAlign w:val="center"/>
            <w:hideMark/>
          </w:tcPr>
          <w:p w14:paraId="4D4C22A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62.3%</w:t>
            </w:r>
          </w:p>
        </w:tc>
        <w:tc>
          <w:tcPr>
            <w:tcW w:w="862" w:type="dxa"/>
            <w:tcBorders>
              <w:top w:val="nil"/>
              <w:left w:val="nil"/>
              <w:bottom w:val="single" w:sz="4" w:space="0" w:color="auto"/>
              <w:right w:val="single" w:sz="4" w:space="0" w:color="auto"/>
            </w:tcBorders>
            <w:shd w:val="clear" w:color="auto" w:fill="auto"/>
            <w:noWrap/>
            <w:vAlign w:val="center"/>
            <w:hideMark/>
          </w:tcPr>
          <w:p w14:paraId="7CD9E5C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79.6%</w:t>
            </w:r>
          </w:p>
        </w:tc>
        <w:tc>
          <w:tcPr>
            <w:tcW w:w="862" w:type="dxa"/>
            <w:tcBorders>
              <w:top w:val="nil"/>
              <w:left w:val="nil"/>
              <w:bottom w:val="single" w:sz="4" w:space="0" w:color="auto"/>
              <w:right w:val="single" w:sz="4" w:space="0" w:color="auto"/>
            </w:tcBorders>
            <w:shd w:val="clear" w:color="auto" w:fill="auto"/>
            <w:noWrap/>
            <w:vAlign w:val="center"/>
            <w:hideMark/>
          </w:tcPr>
          <w:p w14:paraId="4E50512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69.6%</w:t>
            </w:r>
          </w:p>
        </w:tc>
        <w:tc>
          <w:tcPr>
            <w:tcW w:w="862" w:type="dxa"/>
            <w:tcBorders>
              <w:top w:val="nil"/>
              <w:left w:val="nil"/>
              <w:bottom w:val="single" w:sz="4" w:space="0" w:color="auto"/>
              <w:right w:val="single" w:sz="4" w:space="0" w:color="auto"/>
            </w:tcBorders>
            <w:shd w:val="clear" w:color="auto" w:fill="auto"/>
            <w:noWrap/>
            <w:vAlign w:val="center"/>
            <w:hideMark/>
          </w:tcPr>
          <w:p w14:paraId="7A46A4A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82.5%</w:t>
            </w:r>
          </w:p>
        </w:tc>
        <w:tc>
          <w:tcPr>
            <w:tcW w:w="862" w:type="dxa"/>
            <w:tcBorders>
              <w:top w:val="nil"/>
              <w:left w:val="nil"/>
              <w:bottom w:val="single" w:sz="4" w:space="0" w:color="auto"/>
              <w:right w:val="single" w:sz="4" w:space="0" w:color="auto"/>
            </w:tcBorders>
            <w:shd w:val="clear" w:color="auto" w:fill="auto"/>
            <w:noWrap/>
            <w:vAlign w:val="center"/>
            <w:hideMark/>
          </w:tcPr>
          <w:p w14:paraId="03287AA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97.1%</w:t>
            </w:r>
          </w:p>
        </w:tc>
        <w:tc>
          <w:tcPr>
            <w:tcW w:w="862" w:type="dxa"/>
            <w:tcBorders>
              <w:top w:val="nil"/>
              <w:left w:val="nil"/>
              <w:bottom w:val="single" w:sz="4" w:space="0" w:color="auto"/>
              <w:right w:val="single" w:sz="4" w:space="0" w:color="auto"/>
            </w:tcBorders>
            <w:shd w:val="clear" w:color="auto" w:fill="auto"/>
            <w:noWrap/>
            <w:vAlign w:val="center"/>
            <w:hideMark/>
          </w:tcPr>
          <w:p w14:paraId="42F74C8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85.2%</w:t>
            </w:r>
          </w:p>
        </w:tc>
        <w:tc>
          <w:tcPr>
            <w:tcW w:w="862" w:type="dxa"/>
            <w:tcBorders>
              <w:top w:val="nil"/>
              <w:left w:val="nil"/>
              <w:bottom w:val="single" w:sz="4" w:space="0" w:color="auto"/>
              <w:right w:val="single" w:sz="4" w:space="0" w:color="auto"/>
            </w:tcBorders>
            <w:shd w:val="clear" w:color="000000" w:fill="C6E0B4"/>
            <w:noWrap/>
            <w:vAlign w:val="center"/>
            <w:hideMark/>
          </w:tcPr>
          <w:p w14:paraId="2440101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98.7%</w:t>
            </w:r>
          </w:p>
        </w:tc>
      </w:tr>
      <w:tr w:rsidR="00235F98" w:rsidRPr="00235F98" w14:paraId="46C1D56C"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7157BA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1977-79</w:t>
            </w:r>
          </w:p>
        </w:tc>
        <w:tc>
          <w:tcPr>
            <w:tcW w:w="861" w:type="dxa"/>
            <w:tcBorders>
              <w:top w:val="nil"/>
              <w:left w:val="nil"/>
              <w:bottom w:val="single" w:sz="4" w:space="0" w:color="auto"/>
              <w:right w:val="single" w:sz="4" w:space="0" w:color="auto"/>
            </w:tcBorders>
            <w:shd w:val="clear" w:color="000000" w:fill="B4C6E7"/>
            <w:noWrap/>
            <w:vAlign w:val="center"/>
            <w:hideMark/>
          </w:tcPr>
          <w:p w14:paraId="4E356E2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11.7%</w:t>
            </w:r>
          </w:p>
        </w:tc>
        <w:tc>
          <w:tcPr>
            <w:tcW w:w="861" w:type="dxa"/>
            <w:tcBorders>
              <w:top w:val="nil"/>
              <w:left w:val="nil"/>
              <w:bottom w:val="single" w:sz="4" w:space="0" w:color="auto"/>
              <w:right w:val="single" w:sz="4" w:space="0" w:color="auto"/>
            </w:tcBorders>
            <w:shd w:val="clear" w:color="auto" w:fill="auto"/>
            <w:noWrap/>
            <w:vAlign w:val="center"/>
            <w:hideMark/>
          </w:tcPr>
          <w:p w14:paraId="72D0197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26.8%</w:t>
            </w:r>
          </w:p>
        </w:tc>
        <w:tc>
          <w:tcPr>
            <w:tcW w:w="861" w:type="dxa"/>
            <w:tcBorders>
              <w:top w:val="nil"/>
              <w:left w:val="nil"/>
              <w:bottom w:val="single" w:sz="4" w:space="0" w:color="auto"/>
              <w:right w:val="single" w:sz="4" w:space="0" w:color="auto"/>
            </w:tcBorders>
            <w:shd w:val="clear" w:color="auto" w:fill="auto"/>
            <w:noWrap/>
            <w:vAlign w:val="center"/>
            <w:hideMark/>
          </w:tcPr>
          <w:p w14:paraId="346D229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46.3%</w:t>
            </w:r>
          </w:p>
        </w:tc>
        <w:tc>
          <w:tcPr>
            <w:tcW w:w="862" w:type="dxa"/>
            <w:tcBorders>
              <w:top w:val="nil"/>
              <w:left w:val="nil"/>
              <w:bottom w:val="single" w:sz="4" w:space="0" w:color="auto"/>
              <w:right w:val="single" w:sz="4" w:space="0" w:color="auto"/>
            </w:tcBorders>
            <w:shd w:val="clear" w:color="auto" w:fill="auto"/>
            <w:noWrap/>
            <w:vAlign w:val="center"/>
            <w:hideMark/>
          </w:tcPr>
          <w:p w14:paraId="59D52EE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53.9%</w:t>
            </w:r>
          </w:p>
        </w:tc>
        <w:tc>
          <w:tcPr>
            <w:tcW w:w="862" w:type="dxa"/>
            <w:tcBorders>
              <w:top w:val="nil"/>
              <w:left w:val="nil"/>
              <w:bottom w:val="single" w:sz="4" w:space="0" w:color="auto"/>
              <w:right w:val="single" w:sz="4" w:space="0" w:color="auto"/>
            </w:tcBorders>
            <w:shd w:val="clear" w:color="auto" w:fill="auto"/>
            <w:noWrap/>
            <w:vAlign w:val="center"/>
            <w:hideMark/>
          </w:tcPr>
          <w:p w14:paraId="627566A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69.0%</w:t>
            </w:r>
          </w:p>
        </w:tc>
        <w:tc>
          <w:tcPr>
            <w:tcW w:w="862" w:type="dxa"/>
            <w:tcBorders>
              <w:top w:val="nil"/>
              <w:left w:val="nil"/>
              <w:bottom w:val="single" w:sz="4" w:space="0" w:color="auto"/>
              <w:right w:val="single" w:sz="4" w:space="0" w:color="auto"/>
            </w:tcBorders>
            <w:shd w:val="clear" w:color="auto" w:fill="auto"/>
            <w:noWrap/>
            <w:vAlign w:val="center"/>
            <w:hideMark/>
          </w:tcPr>
          <w:p w14:paraId="4CEEFAF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97.6%</w:t>
            </w:r>
          </w:p>
        </w:tc>
        <w:tc>
          <w:tcPr>
            <w:tcW w:w="862" w:type="dxa"/>
            <w:tcBorders>
              <w:top w:val="nil"/>
              <w:left w:val="nil"/>
              <w:bottom w:val="single" w:sz="4" w:space="0" w:color="auto"/>
              <w:right w:val="single" w:sz="4" w:space="0" w:color="auto"/>
            </w:tcBorders>
            <w:shd w:val="clear" w:color="auto" w:fill="auto"/>
            <w:noWrap/>
            <w:vAlign w:val="center"/>
            <w:hideMark/>
          </w:tcPr>
          <w:p w14:paraId="071FA73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95.4%</w:t>
            </w:r>
          </w:p>
        </w:tc>
        <w:tc>
          <w:tcPr>
            <w:tcW w:w="862" w:type="dxa"/>
            <w:tcBorders>
              <w:top w:val="nil"/>
              <w:left w:val="nil"/>
              <w:bottom w:val="single" w:sz="4" w:space="0" w:color="auto"/>
              <w:right w:val="single" w:sz="4" w:space="0" w:color="auto"/>
            </w:tcBorders>
            <w:shd w:val="clear" w:color="auto" w:fill="auto"/>
            <w:noWrap/>
            <w:vAlign w:val="center"/>
            <w:hideMark/>
          </w:tcPr>
          <w:p w14:paraId="645E7A4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108.8%</w:t>
            </w:r>
          </w:p>
        </w:tc>
        <w:tc>
          <w:tcPr>
            <w:tcW w:w="862" w:type="dxa"/>
            <w:tcBorders>
              <w:top w:val="nil"/>
              <w:left w:val="nil"/>
              <w:bottom w:val="single" w:sz="4" w:space="0" w:color="auto"/>
              <w:right w:val="single" w:sz="4" w:space="0" w:color="auto"/>
            </w:tcBorders>
            <w:shd w:val="clear" w:color="auto" w:fill="auto"/>
            <w:noWrap/>
            <w:vAlign w:val="center"/>
            <w:hideMark/>
          </w:tcPr>
          <w:p w14:paraId="1786412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103.6%</w:t>
            </w:r>
          </w:p>
        </w:tc>
        <w:tc>
          <w:tcPr>
            <w:tcW w:w="862" w:type="dxa"/>
            <w:tcBorders>
              <w:top w:val="nil"/>
              <w:left w:val="nil"/>
              <w:bottom w:val="single" w:sz="4" w:space="0" w:color="auto"/>
              <w:right w:val="single" w:sz="4" w:space="0" w:color="auto"/>
            </w:tcBorders>
            <w:shd w:val="clear" w:color="000000" w:fill="C6E0B4"/>
            <w:noWrap/>
            <w:vAlign w:val="center"/>
            <w:hideMark/>
          </w:tcPr>
          <w:p w14:paraId="147E279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123.3%</w:t>
            </w:r>
          </w:p>
        </w:tc>
      </w:tr>
      <w:tr w:rsidR="00235F98" w:rsidRPr="00235F98" w14:paraId="3B782CCA"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5257CF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1980-82</w:t>
            </w:r>
          </w:p>
        </w:tc>
        <w:tc>
          <w:tcPr>
            <w:tcW w:w="861" w:type="dxa"/>
            <w:tcBorders>
              <w:top w:val="nil"/>
              <w:left w:val="nil"/>
              <w:bottom w:val="single" w:sz="4" w:space="0" w:color="auto"/>
              <w:right w:val="single" w:sz="4" w:space="0" w:color="auto"/>
            </w:tcBorders>
            <w:shd w:val="clear" w:color="000000" w:fill="B4C6E7"/>
            <w:noWrap/>
            <w:vAlign w:val="center"/>
            <w:hideMark/>
          </w:tcPr>
          <w:p w14:paraId="5A378BF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45.6%</w:t>
            </w:r>
          </w:p>
        </w:tc>
        <w:tc>
          <w:tcPr>
            <w:tcW w:w="861" w:type="dxa"/>
            <w:tcBorders>
              <w:top w:val="nil"/>
              <w:left w:val="nil"/>
              <w:bottom w:val="single" w:sz="4" w:space="0" w:color="auto"/>
              <w:right w:val="single" w:sz="4" w:space="0" w:color="auto"/>
            </w:tcBorders>
            <w:shd w:val="clear" w:color="auto" w:fill="auto"/>
            <w:noWrap/>
            <w:vAlign w:val="center"/>
            <w:hideMark/>
          </w:tcPr>
          <w:p w14:paraId="2002193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58.9%</w:t>
            </w:r>
          </w:p>
        </w:tc>
        <w:tc>
          <w:tcPr>
            <w:tcW w:w="861" w:type="dxa"/>
            <w:tcBorders>
              <w:top w:val="nil"/>
              <w:left w:val="nil"/>
              <w:bottom w:val="single" w:sz="4" w:space="0" w:color="auto"/>
              <w:right w:val="single" w:sz="4" w:space="0" w:color="auto"/>
            </w:tcBorders>
            <w:shd w:val="clear" w:color="auto" w:fill="auto"/>
            <w:noWrap/>
            <w:vAlign w:val="center"/>
            <w:hideMark/>
          </w:tcPr>
          <w:p w14:paraId="0B8F191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65.2%</w:t>
            </w:r>
          </w:p>
        </w:tc>
        <w:tc>
          <w:tcPr>
            <w:tcW w:w="862" w:type="dxa"/>
            <w:tcBorders>
              <w:top w:val="nil"/>
              <w:left w:val="nil"/>
              <w:bottom w:val="single" w:sz="4" w:space="0" w:color="auto"/>
              <w:right w:val="single" w:sz="4" w:space="0" w:color="auto"/>
            </w:tcBorders>
            <w:shd w:val="clear" w:color="auto" w:fill="auto"/>
            <w:noWrap/>
            <w:vAlign w:val="center"/>
            <w:hideMark/>
          </w:tcPr>
          <w:p w14:paraId="0BC18E3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70.5%</w:t>
            </w:r>
          </w:p>
        </w:tc>
        <w:tc>
          <w:tcPr>
            <w:tcW w:w="862" w:type="dxa"/>
            <w:tcBorders>
              <w:top w:val="nil"/>
              <w:left w:val="nil"/>
              <w:bottom w:val="single" w:sz="4" w:space="0" w:color="auto"/>
              <w:right w:val="single" w:sz="4" w:space="0" w:color="auto"/>
            </w:tcBorders>
            <w:shd w:val="clear" w:color="auto" w:fill="auto"/>
            <w:noWrap/>
            <w:vAlign w:val="center"/>
            <w:hideMark/>
          </w:tcPr>
          <w:p w14:paraId="1B78F90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80.9%</w:t>
            </w:r>
          </w:p>
        </w:tc>
        <w:tc>
          <w:tcPr>
            <w:tcW w:w="862" w:type="dxa"/>
            <w:tcBorders>
              <w:top w:val="nil"/>
              <w:left w:val="nil"/>
              <w:bottom w:val="single" w:sz="4" w:space="0" w:color="auto"/>
              <w:right w:val="single" w:sz="4" w:space="0" w:color="auto"/>
            </w:tcBorders>
            <w:shd w:val="clear" w:color="auto" w:fill="auto"/>
            <w:noWrap/>
            <w:vAlign w:val="center"/>
            <w:hideMark/>
          </w:tcPr>
          <w:p w14:paraId="0AF5FB0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81.5%</w:t>
            </w:r>
          </w:p>
        </w:tc>
        <w:tc>
          <w:tcPr>
            <w:tcW w:w="862" w:type="dxa"/>
            <w:tcBorders>
              <w:top w:val="nil"/>
              <w:left w:val="nil"/>
              <w:bottom w:val="single" w:sz="4" w:space="0" w:color="auto"/>
              <w:right w:val="single" w:sz="4" w:space="0" w:color="auto"/>
            </w:tcBorders>
            <w:shd w:val="clear" w:color="auto" w:fill="auto"/>
            <w:noWrap/>
            <w:vAlign w:val="center"/>
            <w:hideMark/>
          </w:tcPr>
          <w:p w14:paraId="19ABF69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75.3%</w:t>
            </w:r>
          </w:p>
        </w:tc>
        <w:tc>
          <w:tcPr>
            <w:tcW w:w="862" w:type="dxa"/>
            <w:tcBorders>
              <w:top w:val="nil"/>
              <w:left w:val="nil"/>
              <w:bottom w:val="single" w:sz="4" w:space="0" w:color="auto"/>
              <w:right w:val="single" w:sz="4" w:space="0" w:color="auto"/>
            </w:tcBorders>
            <w:shd w:val="clear" w:color="auto" w:fill="auto"/>
            <w:noWrap/>
            <w:vAlign w:val="center"/>
            <w:hideMark/>
          </w:tcPr>
          <w:p w14:paraId="751FB76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72.4%</w:t>
            </w:r>
          </w:p>
        </w:tc>
        <w:tc>
          <w:tcPr>
            <w:tcW w:w="862" w:type="dxa"/>
            <w:tcBorders>
              <w:top w:val="nil"/>
              <w:left w:val="nil"/>
              <w:bottom w:val="single" w:sz="4" w:space="0" w:color="auto"/>
              <w:right w:val="single" w:sz="4" w:space="0" w:color="auto"/>
            </w:tcBorders>
            <w:shd w:val="clear" w:color="000000" w:fill="C6E0B4"/>
            <w:noWrap/>
            <w:vAlign w:val="center"/>
            <w:hideMark/>
          </w:tcPr>
          <w:p w14:paraId="5CCCAFC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88.2%</w:t>
            </w:r>
          </w:p>
        </w:tc>
        <w:tc>
          <w:tcPr>
            <w:tcW w:w="862" w:type="dxa"/>
            <w:tcBorders>
              <w:top w:val="nil"/>
              <w:left w:val="nil"/>
              <w:bottom w:val="single" w:sz="4" w:space="0" w:color="auto"/>
              <w:right w:val="single" w:sz="4" w:space="0" w:color="auto"/>
            </w:tcBorders>
            <w:shd w:val="clear" w:color="auto" w:fill="auto"/>
            <w:noWrap/>
            <w:vAlign w:val="center"/>
            <w:hideMark/>
          </w:tcPr>
          <w:p w14:paraId="337F735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82.4%</w:t>
            </w:r>
          </w:p>
        </w:tc>
      </w:tr>
      <w:tr w:rsidR="00235F98" w:rsidRPr="00235F98" w14:paraId="399DDDFD"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C5B21F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1983-85</w:t>
            </w:r>
          </w:p>
        </w:tc>
        <w:tc>
          <w:tcPr>
            <w:tcW w:w="861" w:type="dxa"/>
            <w:tcBorders>
              <w:top w:val="nil"/>
              <w:left w:val="nil"/>
              <w:bottom w:val="single" w:sz="4" w:space="0" w:color="auto"/>
              <w:right w:val="single" w:sz="4" w:space="0" w:color="auto"/>
            </w:tcBorders>
            <w:shd w:val="clear" w:color="auto" w:fill="auto"/>
            <w:noWrap/>
            <w:vAlign w:val="center"/>
            <w:hideMark/>
          </w:tcPr>
          <w:p w14:paraId="1F32DFB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71.7%</w:t>
            </w:r>
          </w:p>
        </w:tc>
        <w:tc>
          <w:tcPr>
            <w:tcW w:w="861" w:type="dxa"/>
            <w:tcBorders>
              <w:top w:val="nil"/>
              <w:left w:val="nil"/>
              <w:bottom w:val="single" w:sz="4" w:space="0" w:color="auto"/>
              <w:right w:val="single" w:sz="4" w:space="0" w:color="auto"/>
            </w:tcBorders>
            <w:shd w:val="clear" w:color="auto" w:fill="auto"/>
            <w:noWrap/>
            <w:vAlign w:val="center"/>
            <w:hideMark/>
          </w:tcPr>
          <w:p w14:paraId="7DBE3BC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73.3%</w:t>
            </w:r>
          </w:p>
        </w:tc>
        <w:tc>
          <w:tcPr>
            <w:tcW w:w="861" w:type="dxa"/>
            <w:tcBorders>
              <w:top w:val="nil"/>
              <w:left w:val="nil"/>
              <w:bottom w:val="single" w:sz="4" w:space="0" w:color="auto"/>
              <w:right w:val="single" w:sz="4" w:space="0" w:color="auto"/>
            </w:tcBorders>
            <w:shd w:val="clear" w:color="auto" w:fill="auto"/>
            <w:noWrap/>
            <w:vAlign w:val="center"/>
            <w:hideMark/>
          </w:tcPr>
          <w:p w14:paraId="06087DF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67.6%</w:t>
            </w:r>
          </w:p>
        </w:tc>
        <w:tc>
          <w:tcPr>
            <w:tcW w:w="862" w:type="dxa"/>
            <w:tcBorders>
              <w:top w:val="nil"/>
              <w:left w:val="nil"/>
              <w:bottom w:val="single" w:sz="4" w:space="0" w:color="auto"/>
              <w:right w:val="single" w:sz="4" w:space="0" w:color="auto"/>
            </w:tcBorders>
            <w:shd w:val="clear" w:color="auto" w:fill="auto"/>
            <w:noWrap/>
            <w:vAlign w:val="center"/>
            <w:hideMark/>
          </w:tcPr>
          <w:p w14:paraId="0ED52E9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61.4%</w:t>
            </w:r>
          </w:p>
        </w:tc>
        <w:tc>
          <w:tcPr>
            <w:tcW w:w="862" w:type="dxa"/>
            <w:tcBorders>
              <w:top w:val="nil"/>
              <w:left w:val="nil"/>
              <w:bottom w:val="single" w:sz="4" w:space="0" w:color="auto"/>
              <w:right w:val="single" w:sz="4" w:space="0" w:color="auto"/>
            </w:tcBorders>
            <w:shd w:val="clear" w:color="auto" w:fill="auto"/>
            <w:noWrap/>
            <w:vAlign w:val="center"/>
            <w:hideMark/>
          </w:tcPr>
          <w:p w14:paraId="23694A1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61.1%</w:t>
            </w:r>
          </w:p>
        </w:tc>
        <w:tc>
          <w:tcPr>
            <w:tcW w:w="862" w:type="dxa"/>
            <w:tcBorders>
              <w:top w:val="nil"/>
              <w:left w:val="nil"/>
              <w:bottom w:val="single" w:sz="4" w:space="0" w:color="auto"/>
              <w:right w:val="single" w:sz="4" w:space="0" w:color="auto"/>
            </w:tcBorders>
            <w:shd w:val="clear" w:color="auto" w:fill="auto"/>
            <w:noWrap/>
            <w:vAlign w:val="center"/>
            <w:hideMark/>
          </w:tcPr>
          <w:p w14:paraId="194C627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69.0%</w:t>
            </w:r>
          </w:p>
        </w:tc>
        <w:tc>
          <w:tcPr>
            <w:tcW w:w="862" w:type="dxa"/>
            <w:tcBorders>
              <w:top w:val="nil"/>
              <w:left w:val="nil"/>
              <w:bottom w:val="single" w:sz="4" w:space="0" w:color="auto"/>
              <w:right w:val="single" w:sz="4" w:space="0" w:color="auto"/>
            </w:tcBorders>
            <w:shd w:val="clear" w:color="auto" w:fill="auto"/>
            <w:noWrap/>
            <w:vAlign w:val="center"/>
            <w:hideMark/>
          </w:tcPr>
          <w:p w14:paraId="226B6B9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61.5%</w:t>
            </w:r>
          </w:p>
        </w:tc>
        <w:tc>
          <w:tcPr>
            <w:tcW w:w="862" w:type="dxa"/>
            <w:tcBorders>
              <w:top w:val="nil"/>
              <w:left w:val="nil"/>
              <w:bottom w:val="single" w:sz="4" w:space="0" w:color="auto"/>
              <w:right w:val="single" w:sz="4" w:space="0" w:color="auto"/>
            </w:tcBorders>
            <w:shd w:val="clear" w:color="000000" w:fill="C6E0B4"/>
            <w:noWrap/>
            <w:vAlign w:val="center"/>
            <w:hideMark/>
          </w:tcPr>
          <w:p w14:paraId="0E0A73D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73.3%</w:t>
            </w:r>
          </w:p>
        </w:tc>
        <w:tc>
          <w:tcPr>
            <w:tcW w:w="862" w:type="dxa"/>
            <w:tcBorders>
              <w:top w:val="nil"/>
              <w:left w:val="nil"/>
              <w:bottom w:val="single" w:sz="4" w:space="0" w:color="auto"/>
              <w:right w:val="single" w:sz="4" w:space="0" w:color="auto"/>
            </w:tcBorders>
            <w:shd w:val="clear" w:color="auto" w:fill="auto"/>
            <w:noWrap/>
            <w:vAlign w:val="center"/>
            <w:hideMark/>
          </w:tcPr>
          <w:p w14:paraId="4209E01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56.3%</w:t>
            </w:r>
          </w:p>
        </w:tc>
        <w:tc>
          <w:tcPr>
            <w:tcW w:w="862" w:type="dxa"/>
            <w:tcBorders>
              <w:top w:val="nil"/>
              <w:left w:val="nil"/>
              <w:bottom w:val="single" w:sz="4" w:space="0" w:color="auto"/>
              <w:right w:val="single" w:sz="4" w:space="0" w:color="auto"/>
            </w:tcBorders>
            <w:shd w:val="clear" w:color="000000" w:fill="B4C6E7"/>
            <w:noWrap/>
            <w:vAlign w:val="center"/>
            <w:hideMark/>
          </w:tcPr>
          <w:p w14:paraId="0FE75B1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38.6%</w:t>
            </w:r>
          </w:p>
        </w:tc>
      </w:tr>
      <w:tr w:rsidR="00235F98" w:rsidRPr="00235F98" w14:paraId="6D91B733"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785A16F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1986-88</w:t>
            </w:r>
          </w:p>
        </w:tc>
        <w:tc>
          <w:tcPr>
            <w:tcW w:w="861" w:type="dxa"/>
            <w:tcBorders>
              <w:top w:val="nil"/>
              <w:left w:val="nil"/>
              <w:bottom w:val="single" w:sz="4" w:space="0" w:color="auto"/>
              <w:right w:val="single" w:sz="4" w:space="0" w:color="auto"/>
            </w:tcBorders>
            <w:shd w:val="clear" w:color="auto" w:fill="auto"/>
            <w:noWrap/>
            <w:vAlign w:val="center"/>
            <w:hideMark/>
          </w:tcPr>
          <w:p w14:paraId="332EE1D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42.4%</w:t>
            </w:r>
          </w:p>
        </w:tc>
        <w:tc>
          <w:tcPr>
            <w:tcW w:w="861" w:type="dxa"/>
            <w:tcBorders>
              <w:top w:val="nil"/>
              <w:left w:val="nil"/>
              <w:bottom w:val="single" w:sz="4" w:space="0" w:color="auto"/>
              <w:right w:val="single" w:sz="4" w:space="0" w:color="auto"/>
            </w:tcBorders>
            <w:shd w:val="clear" w:color="auto" w:fill="auto"/>
            <w:noWrap/>
            <w:vAlign w:val="center"/>
            <w:hideMark/>
          </w:tcPr>
          <w:p w14:paraId="289A90E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42.1%</w:t>
            </w:r>
          </w:p>
        </w:tc>
        <w:tc>
          <w:tcPr>
            <w:tcW w:w="861" w:type="dxa"/>
            <w:tcBorders>
              <w:top w:val="nil"/>
              <w:left w:val="nil"/>
              <w:bottom w:val="single" w:sz="4" w:space="0" w:color="auto"/>
              <w:right w:val="single" w:sz="4" w:space="0" w:color="auto"/>
            </w:tcBorders>
            <w:shd w:val="clear" w:color="000000" w:fill="C6E0B4"/>
            <w:noWrap/>
            <w:vAlign w:val="center"/>
            <w:hideMark/>
          </w:tcPr>
          <w:p w14:paraId="4CB5D6A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46.5%</w:t>
            </w:r>
          </w:p>
        </w:tc>
        <w:tc>
          <w:tcPr>
            <w:tcW w:w="862" w:type="dxa"/>
            <w:tcBorders>
              <w:top w:val="nil"/>
              <w:left w:val="nil"/>
              <w:bottom w:val="single" w:sz="4" w:space="0" w:color="auto"/>
              <w:right w:val="single" w:sz="4" w:space="0" w:color="auto"/>
            </w:tcBorders>
            <w:shd w:val="clear" w:color="auto" w:fill="auto"/>
            <w:noWrap/>
            <w:vAlign w:val="center"/>
            <w:hideMark/>
          </w:tcPr>
          <w:p w14:paraId="76F9356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46.0%</w:t>
            </w:r>
          </w:p>
        </w:tc>
        <w:tc>
          <w:tcPr>
            <w:tcW w:w="862" w:type="dxa"/>
            <w:tcBorders>
              <w:top w:val="nil"/>
              <w:left w:val="nil"/>
              <w:bottom w:val="single" w:sz="4" w:space="0" w:color="auto"/>
              <w:right w:val="single" w:sz="4" w:space="0" w:color="auto"/>
            </w:tcBorders>
            <w:shd w:val="clear" w:color="auto" w:fill="auto"/>
            <w:noWrap/>
            <w:vAlign w:val="center"/>
            <w:hideMark/>
          </w:tcPr>
          <w:p w14:paraId="5182EE6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34.4%</w:t>
            </w:r>
          </w:p>
        </w:tc>
        <w:tc>
          <w:tcPr>
            <w:tcW w:w="862" w:type="dxa"/>
            <w:tcBorders>
              <w:top w:val="nil"/>
              <w:left w:val="nil"/>
              <w:bottom w:val="single" w:sz="4" w:space="0" w:color="auto"/>
              <w:right w:val="single" w:sz="4" w:space="0" w:color="auto"/>
            </w:tcBorders>
            <w:shd w:val="clear" w:color="auto" w:fill="auto"/>
            <w:noWrap/>
            <w:vAlign w:val="center"/>
            <w:hideMark/>
          </w:tcPr>
          <w:p w14:paraId="27020AB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27.3%</w:t>
            </w:r>
          </w:p>
        </w:tc>
        <w:tc>
          <w:tcPr>
            <w:tcW w:w="862" w:type="dxa"/>
            <w:tcBorders>
              <w:top w:val="nil"/>
              <w:left w:val="nil"/>
              <w:bottom w:val="single" w:sz="4" w:space="0" w:color="auto"/>
              <w:right w:val="single" w:sz="4" w:space="0" w:color="auto"/>
            </w:tcBorders>
            <w:shd w:val="clear" w:color="auto" w:fill="auto"/>
            <w:noWrap/>
            <w:vAlign w:val="center"/>
            <w:hideMark/>
          </w:tcPr>
          <w:p w14:paraId="1462DC8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27.4%</w:t>
            </w:r>
          </w:p>
        </w:tc>
        <w:tc>
          <w:tcPr>
            <w:tcW w:w="862" w:type="dxa"/>
            <w:tcBorders>
              <w:top w:val="nil"/>
              <w:left w:val="nil"/>
              <w:bottom w:val="single" w:sz="4" w:space="0" w:color="auto"/>
              <w:right w:val="single" w:sz="4" w:space="0" w:color="auto"/>
            </w:tcBorders>
            <w:shd w:val="clear" w:color="auto" w:fill="auto"/>
            <w:noWrap/>
            <w:vAlign w:val="center"/>
            <w:hideMark/>
          </w:tcPr>
          <w:p w14:paraId="2FB25DF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22.7%</w:t>
            </w:r>
          </w:p>
        </w:tc>
        <w:tc>
          <w:tcPr>
            <w:tcW w:w="862" w:type="dxa"/>
            <w:tcBorders>
              <w:top w:val="nil"/>
              <w:left w:val="nil"/>
              <w:bottom w:val="single" w:sz="4" w:space="0" w:color="auto"/>
              <w:right w:val="single" w:sz="4" w:space="0" w:color="auto"/>
            </w:tcBorders>
            <w:shd w:val="clear" w:color="auto" w:fill="auto"/>
            <w:noWrap/>
            <w:vAlign w:val="center"/>
            <w:hideMark/>
          </w:tcPr>
          <w:p w14:paraId="68CC88E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13.5%</w:t>
            </w:r>
          </w:p>
        </w:tc>
        <w:tc>
          <w:tcPr>
            <w:tcW w:w="862" w:type="dxa"/>
            <w:tcBorders>
              <w:top w:val="nil"/>
              <w:left w:val="nil"/>
              <w:bottom w:val="single" w:sz="4" w:space="0" w:color="auto"/>
              <w:right w:val="single" w:sz="4" w:space="0" w:color="auto"/>
            </w:tcBorders>
            <w:shd w:val="clear" w:color="000000" w:fill="B4C6E7"/>
            <w:noWrap/>
            <w:vAlign w:val="center"/>
            <w:hideMark/>
          </w:tcPr>
          <w:p w14:paraId="09ADDA0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3.4%</w:t>
            </w:r>
          </w:p>
        </w:tc>
      </w:tr>
      <w:tr w:rsidR="00235F98" w:rsidRPr="00235F98" w14:paraId="5D700B1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A2E010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1989-91</w:t>
            </w:r>
          </w:p>
        </w:tc>
        <w:tc>
          <w:tcPr>
            <w:tcW w:w="861" w:type="dxa"/>
            <w:tcBorders>
              <w:top w:val="nil"/>
              <w:left w:val="nil"/>
              <w:bottom w:val="single" w:sz="4" w:space="0" w:color="auto"/>
              <w:right w:val="single" w:sz="4" w:space="0" w:color="auto"/>
            </w:tcBorders>
            <w:shd w:val="clear" w:color="000000" w:fill="C6E0B4"/>
            <w:noWrap/>
            <w:vAlign w:val="center"/>
            <w:hideMark/>
          </w:tcPr>
          <w:p w14:paraId="21E98FB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71.8%</w:t>
            </w:r>
          </w:p>
        </w:tc>
        <w:tc>
          <w:tcPr>
            <w:tcW w:w="861" w:type="dxa"/>
            <w:tcBorders>
              <w:top w:val="nil"/>
              <w:left w:val="nil"/>
              <w:bottom w:val="single" w:sz="4" w:space="0" w:color="auto"/>
              <w:right w:val="single" w:sz="4" w:space="0" w:color="auto"/>
            </w:tcBorders>
            <w:shd w:val="clear" w:color="auto" w:fill="auto"/>
            <w:noWrap/>
            <w:vAlign w:val="center"/>
            <w:hideMark/>
          </w:tcPr>
          <w:p w14:paraId="183ACE6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60.2%</w:t>
            </w:r>
          </w:p>
        </w:tc>
        <w:tc>
          <w:tcPr>
            <w:tcW w:w="861" w:type="dxa"/>
            <w:tcBorders>
              <w:top w:val="nil"/>
              <w:left w:val="nil"/>
              <w:bottom w:val="single" w:sz="4" w:space="0" w:color="auto"/>
              <w:right w:val="single" w:sz="4" w:space="0" w:color="auto"/>
            </w:tcBorders>
            <w:shd w:val="clear" w:color="auto" w:fill="auto"/>
            <w:noWrap/>
            <w:vAlign w:val="center"/>
            <w:hideMark/>
          </w:tcPr>
          <w:p w14:paraId="230CE90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60.4%</w:t>
            </w:r>
          </w:p>
        </w:tc>
        <w:tc>
          <w:tcPr>
            <w:tcW w:w="862" w:type="dxa"/>
            <w:tcBorders>
              <w:top w:val="nil"/>
              <w:left w:val="nil"/>
              <w:bottom w:val="single" w:sz="4" w:space="0" w:color="auto"/>
              <w:right w:val="single" w:sz="4" w:space="0" w:color="auto"/>
            </w:tcBorders>
            <w:shd w:val="clear" w:color="auto" w:fill="auto"/>
            <w:noWrap/>
            <w:vAlign w:val="center"/>
            <w:hideMark/>
          </w:tcPr>
          <w:p w14:paraId="4153D64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55.9%</w:t>
            </w:r>
          </w:p>
        </w:tc>
        <w:tc>
          <w:tcPr>
            <w:tcW w:w="862" w:type="dxa"/>
            <w:tcBorders>
              <w:top w:val="nil"/>
              <w:left w:val="nil"/>
              <w:bottom w:val="single" w:sz="4" w:space="0" w:color="auto"/>
              <w:right w:val="single" w:sz="4" w:space="0" w:color="auto"/>
            </w:tcBorders>
            <w:shd w:val="clear" w:color="auto" w:fill="auto"/>
            <w:noWrap/>
            <w:vAlign w:val="center"/>
            <w:hideMark/>
          </w:tcPr>
          <w:p w14:paraId="485058D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58.1%</w:t>
            </w:r>
          </w:p>
        </w:tc>
        <w:tc>
          <w:tcPr>
            <w:tcW w:w="862" w:type="dxa"/>
            <w:tcBorders>
              <w:top w:val="nil"/>
              <w:left w:val="nil"/>
              <w:bottom w:val="single" w:sz="4" w:space="0" w:color="auto"/>
              <w:right w:val="single" w:sz="4" w:space="0" w:color="auto"/>
            </w:tcBorders>
            <w:shd w:val="clear" w:color="auto" w:fill="auto"/>
            <w:noWrap/>
            <w:vAlign w:val="center"/>
            <w:hideMark/>
          </w:tcPr>
          <w:p w14:paraId="4D6D951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51.2%</w:t>
            </w:r>
          </w:p>
        </w:tc>
        <w:tc>
          <w:tcPr>
            <w:tcW w:w="862" w:type="dxa"/>
            <w:tcBorders>
              <w:top w:val="nil"/>
              <w:left w:val="nil"/>
              <w:bottom w:val="single" w:sz="4" w:space="0" w:color="auto"/>
              <w:right w:val="single" w:sz="4" w:space="0" w:color="auto"/>
            </w:tcBorders>
            <w:shd w:val="clear" w:color="auto" w:fill="auto"/>
            <w:noWrap/>
            <w:vAlign w:val="center"/>
            <w:hideMark/>
          </w:tcPr>
          <w:p w14:paraId="7FFD4A6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43.9%</w:t>
            </w:r>
          </w:p>
        </w:tc>
        <w:tc>
          <w:tcPr>
            <w:tcW w:w="862" w:type="dxa"/>
            <w:tcBorders>
              <w:top w:val="nil"/>
              <w:left w:val="nil"/>
              <w:bottom w:val="single" w:sz="4" w:space="0" w:color="auto"/>
              <w:right w:val="single" w:sz="4" w:space="0" w:color="auto"/>
            </w:tcBorders>
            <w:shd w:val="clear" w:color="auto" w:fill="auto"/>
            <w:noWrap/>
            <w:vAlign w:val="center"/>
            <w:hideMark/>
          </w:tcPr>
          <w:p w14:paraId="331D24D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39.0%</w:t>
            </w:r>
          </w:p>
        </w:tc>
        <w:tc>
          <w:tcPr>
            <w:tcW w:w="862" w:type="dxa"/>
            <w:tcBorders>
              <w:top w:val="nil"/>
              <w:left w:val="nil"/>
              <w:bottom w:val="single" w:sz="4" w:space="0" w:color="auto"/>
              <w:right w:val="single" w:sz="4" w:space="0" w:color="auto"/>
            </w:tcBorders>
            <w:shd w:val="clear" w:color="auto" w:fill="auto"/>
            <w:noWrap/>
            <w:vAlign w:val="center"/>
            <w:hideMark/>
          </w:tcPr>
          <w:p w14:paraId="001B460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25.6%</w:t>
            </w:r>
          </w:p>
        </w:tc>
        <w:tc>
          <w:tcPr>
            <w:tcW w:w="862" w:type="dxa"/>
            <w:tcBorders>
              <w:top w:val="nil"/>
              <w:left w:val="nil"/>
              <w:bottom w:val="single" w:sz="4" w:space="0" w:color="auto"/>
              <w:right w:val="single" w:sz="4" w:space="0" w:color="auto"/>
            </w:tcBorders>
            <w:shd w:val="clear" w:color="000000" w:fill="B4C6E7"/>
            <w:noWrap/>
            <w:vAlign w:val="center"/>
            <w:hideMark/>
          </w:tcPr>
          <w:p w14:paraId="3159CF3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7.3%</w:t>
            </w:r>
          </w:p>
        </w:tc>
      </w:tr>
      <w:tr w:rsidR="00235F98" w:rsidRPr="00235F98" w14:paraId="7B73F95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E662E8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1992-94</w:t>
            </w:r>
          </w:p>
        </w:tc>
        <w:tc>
          <w:tcPr>
            <w:tcW w:w="861" w:type="dxa"/>
            <w:tcBorders>
              <w:top w:val="nil"/>
              <w:left w:val="nil"/>
              <w:bottom w:val="single" w:sz="4" w:space="0" w:color="auto"/>
              <w:right w:val="single" w:sz="4" w:space="0" w:color="auto"/>
            </w:tcBorders>
            <w:shd w:val="clear" w:color="000000" w:fill="B4C6E7"/>
            <w:noWrap/>
            <w:vAlign w:val="center"/>
            <w:hideMark/>
          </w:tcPr>
          <w:p w14:paraId="2112A05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14.4%</w:t>
            </w:r>
          </w:p>
        </w:tc>
        <w:tc>
          <w:tcPr>
            <w:tcW w:w="861" w:type="dxa"/>
            <w:tcBorders>
              <w:top w:val="nil"/>
              <w:left w:val="nil"/>
              <w:bottom w:val="single" w:sz="4" w:space="0" w:color="auto"/>
              <w:right w:val="single" w:sz="4" w:space="0" w:color="auto"/>
            </w:tcBorders>
            <w:shd w:val="clear" w:color="auto" w:fill="auto"/>
            <w:noWrap/>
            <w:vAlign w:val="center"/>
            <w:hideMark/>
          </w:tcPr>
          <w:p w14:paraId="629F150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28.8%</w:t>
            </w:r>
          </w:p>
        </w:tc>
        <w:tc>
          <w:tcPr>
            <w:tcW w:w="861" w:type="dxa"/>
            <w:tcBorders>
              <w:top w:val="nil"/>
              <w:left w:val="nil"/>
              <w:bottom w:val="single" w:sz="4" w:space="0" w:color="auto"/>
              <w:right w:val="single" w:sz="4" w:space="0" w:color="auto"/>
            </w:tcBorders>
            <w:shd w:val="clear" w:color="auto" w:fill="auto"/>
            <w:noWrap/>
            <w:vAlign w:val="center"/>
            <w:hideMark/>
          </w:tcPr>
          <w:p w14:paraId="0BF5C5E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26.7%</w:t>
            </w:r>
          </w:p>
        </w:tc>
        <w:tc>
          <w:tcPr>
            <w:tcW w:w="862" w:type="dxa"/>
            <w:tcBorders>
              <w:top w:val="nil"/>
              <w:left w:val="nil"/>
              <w:bottom w:val="single" w:sz="4" w:space="0" w:color="auto"/>
              <w:right w:val="single" w:sz="4" w:space="0" w:color="auto"/>
            </w:tcBorders>
            <w:shd w:val="clear" w:color="auto" w:fill="auto"/>
            <w:noWrap/>
            <w:vAlign w:val="center"/>
            <w:hideMark/>
          </w:tcPr>
          <w:p w14:paraId="6EB69A3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28.8%</w:t>
            </w:r>
          </w:p>
        </w:tc>
        <w:tc>
          <w:tcPr>
            <w:tcW w:w="862" w:type="dxa"/>
            <w:tcBorders>
              <w:top w:val="nil"/>
              <w:left w:val="nil"/>
              <w:bottom w:val="single" w:sz="4" w:space="0" w:color="auto"/>
              <w:right w:val="single" w:sz="4" w:space="0" w:color="auto"/>
            </w:tcBorders>
            <w:shd w:val="clear" w:color="auto" w:fill="auto"/>
            <w:noWrap/>
            <w:vAlign w:val="center"/>
            <w:hideMark/>
          </w:tcPr>
          <w:p w14:paraId="6E46312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45.1%</w:t>
            </w:r>
          </w:p>
        </w:tc>
        <w:tc>
          <w:tcPr>
            <w:tcW w:w="862" w:type="dxa"/>
            <w:tcBorders>
              <w:top w:val="nil"/>
              <w:left w:val="nil"/>
              <w:bottom w:val="single" w:sz="4" w:space="0" w:color="auto"/>
              <w:right w:val="single" w:sz="4" w:space="0" w:color="auto"/>
            </w:tcBorders>
            <w:shd w:val="clear" w:color="auto" w:fill="auto"/>
            <w:noWrap/>
            <w:vAlign w:val="center"/>
            <w:hideMark/>
          </w:tcPr>
          <w:p w14:paraId="15D7850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40.0%</w:t>
            </w:r>
          </w:p>
        </w:tc>
        <w:tc>
          <w:tcPr>
            <w:tcW w:w="862" w:type="dxa"/>
            <w:tcBorders>
              <w:top w:val="nil"/>
              <w:left w:val="nil"/>
              <w:bottom w:val="single" w:sz="4" w:space="0" w:color="auto"/>
              <w:right w:val="single" w:sz="4" w:space="0" w:color="auto"/>
            </w:tcBorders>
            <w:shd w:val="clear" w:color="auto" w:fill="auto"/>
            <w:noWrap/>
            <w:vAlign w:val="center"/>
            <w:hideMark/>
          </w:tcPr>
          <w:p w14:paraId="0817F0E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38.2%</w:t>
            </w:r>
          </w:p>
        </w:tc>
        <w:tc>
          <w:tcPr>
            <w:tcW w:w="862" w:type="dxa"/>
            <w:tcBorders>
              <w:top w:val="nil"/>
              <w:left w:val="nil"/>
              <w:bottom w:val="single" w:sz="4" w:space="0" w:color="auto"/>
              <w:right w:val="single" w:sz="4" w:space="0" w:color="auto"/>
            </w:tcBorders>
            <w:shd w:val="clear" w:color="auto" w:fill="auto"/>
            <w:noWrap/>
            <w:vAlign w:val="center"/>
            <w:hideMark/>
          </w:tcPr>
          <w:p w14:paraId="1981BC1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29.7%</w:t>
            </w:r>
          </w:p>
        </w:tc>
        <w:tc>
          <w:tcPr>
            <w:tcW w:w="862" w:type="dxa"/>
            <w:tcBorders>
              <w:top w:val="nil"/>
              <w:left w:val="nil"/>
              <w:bottom w:val="single" w:sz="4" w:space="0" w:color="auto"/>
              <w:right w:val="single" w:sz="4" w:space="0" w:color="auto"/>
            </w:tcBorders>
            <w:shd w:val="clear" w:color="auto" w:fill="auto"/>
            <w:noWrap/>
            <w:vAlign w:val="center"/>
            <w:hideMark/>
          </w:tcPr>
          <w:p w14:paraId="21188C1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41.2%</w:t>
            </w:r>
          </w:p>
        </w:tc>
        <w:tc>
          <w:tcPr>
            <w:tcW w:w="862" w:type="dxa"/>
            <w:tcBorders>
              <w:top w:val="nil"/>
              <w:left w:val="nil"/>
              <w:bottom w:val="single" w:sz="4" w:space="0" w:color="auto"/>
              <w:right w:val="single" w:sz="4" w:space="0" w:color="auto"/>
            </w:tcBorders>
            <w:shd w:val="clear" w:color="000000" w:fill="C6E0B4"/>
            <w:noWrap/>
            <w:vAlign w:val="center"/>
            <w:hideMark/>
          </w:tcPr>
          <w:p w14:paraId="45C3969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63.3%</w:t>
            </w:r>
          </w:p>
        </w:tc>
      </w:tr>
      <w:tr w:rsidR="00235F98" w:rsidRPr="00235F98" w14:paraId="7B86F21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B314F1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1995-97</w:t>
            </w:r>
          </w:p>
        </w:tc>
        <w:tc>
          <w:tcPr>
            <w:tcW w:w="861" w:type="dxa"/>
            <w:tcBorders>
              <w:top w:val="nil"/>
              <w:left w:val="nil"/>
              <w:bottom w:val="single" w:sz="4" w:space="0" w:color="auto"/>
              <w:right w:val="single" w:sz="4" w:space="0" w:color="auto"/>
            </w:tcBorders>
            <w:shd w:val="clear" w:color="000000" w:fill="C6E0B4"/>
            <w:noWrap/>
            <w:vAlign w:val="center"/>
            <w:hideMark/>
          </w:tcPr>
          <w:p w14:paraId="1DB38F6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132.7%</w:t>
            </w:r>
          </w:p>
        </w:tc>
        <w:tc>
          <w:tcPr>
            <w:tcW w:w="861" w:type="dxa"/>
            <w:tcBorders>
              <w:top w:val="nil"/>
              <w:left w:val="nil"/>
              <w:bottom w:val="single" w:sz="4" w:space="0" w:color="auto"/>
              <w:right w:val="single" w:sz="4" w:space="0" w:color="auto"/>
            </w:tcBorders>
            <w:shd w:val="clear" w:color="auto" w:fill="auto"/>
            <w:noWrap/>
            <w:vAlign w:val="center"/>
            <w:hideMark/>
          </w:tcPr>
          <w:p w14:paraId="0C9133C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110.3%</w:t>
            </w:r>
          </w:p>
        </w:tc>
        <w:tc>
          <w:tcPr>
            <w:tcW w:w="861" w:type="dxa"/>
            <w:tcBorders>
              <w:top w:val="nil"/>
              <w:left w:val="nil"/>
              <w:bottom w:val="single" w:sz="4" w:space="0" w:color="auto"/>
              <w:right w:val="single" w:sz="4" w:space="0" w:color="auto"/>
            </w:tcBorders>
            <w:shd w:val="clear" w:color="auto" w:fill="auto"/>
            <w:noWrap/>
            <w:vAlign w:val="center"/>
            <w:hideMark/>
          </w:tcPr>
          <w:p w14:paraId="397CB04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98.3%</w:t>
            </w:r>
          </w:p>
        </w:tc>
        <w:tc>
          <w:tcPr>
            <w:tcW w:w="862" w:type="dxa"/>
            <w:tcBorders>
              <w:top w:val="nil"/>
              <w:left w:val="nil"/>
              <w:bottom w:val="single" w:sz="4" w:space="0" w:color="auto"/>
              <w:right w:val="single" w:sz="4" w:space="0" w:color="auto"/>
            </w:tcBorders>
            <w:shd w:val="clear" w:color="auto" w:fill="auto"/>
            <w:noWrap/>
            <w:vAlign w:val="center"/>
            <w:hideMark/>
          </w:tcPr>
          <w:p w14:paraId="7F82D90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99.0%</w:t>
            </w:r>
          </w:p>
        </w:tc>
        <w:tc>
          <w:tcPr>
            <w:tcW w:w="862" w:type="dxa"/>
            <w:tcBorders>
              <w:top w:val="nil"/>
              <w:left w:val="nil"/>
              <w:bottom w:val="single" w:sz="4" w:space="0" w:color="auto"/>
              <w:right w:val="single" w:sz="4" w:space="0" w:color="auto"/>
            </w:tcBorders>
            <w:shd w:val="clear" w:color="000000" w:fill="B4C6E7"/>
            <w:noWrap/>
            <w:vAlign w:val="center"/>
            <w:hideMark/>
          </w:tcPr>
          <w:p w14:paraId="59CD91F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74.8%</w:t>
            </w:r>
          </w:p>
        </w:tc>
        <w:tc>
          <w:tcPr>
            <w:tcW w:w="862" w:type="dxa"/>
            <w:tcBorders>
              <w:top w:val="nil"/>
              <w:left w:val="nil"/>
              <w:bottom w:val="single" w:sz="4" w:space="0" w:color="auto"/>
              <w:right w:val="single" w:sz="4" w:space="0" w:color="auto"/>
            </w:tcBorders>
            <w:shd w:val="clear" w:color="auto" w:fill="auto"/>
            <w:noWrap/>
            <w:vAlign w:val="center"/>
            <w:hideMark/>
          </w:tcPr>
          <w:p w14:paraId="3E65FDF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91.3%</w:t>
            </w:r>
          </w:p>
        </w:tc>
        <w:tc>
          <w:tcPr>
            <w:tcW w:w="862" w:type="dxa"/>
            <w:tcBorders>
              <w:top w:val="nil"/>
              <w:left w:val="nil"/>
              <w:bottom w:val="single" w:sz="4" w:space="0" w:color="auto"/>
              <w:right w:val="single" w:sz="4" w:space="0" w:color="auto"/>
            </w:tcBorders>
            <w:shd w:val="clear" w:color="auto" w:fill="auto"/>
            <w:noWrap/>
            <w:vAlign w:val="center"/>
            <w:hideMark/>
          </w:tcPr>
          <w:p w14:paraId="69CC8D8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106.8%</w:t>
            </w:r>
          </w:p>
        </w:tc>
        <w:tc>
          <w:tcPr>
            <w:tcW w:w="862" w:type="dxa"/>
            <w:tcBorders>
              <w:top w:val="nil"/>
              <w:left w:val="nil"/>
              <w:bottom w:val="single" w:sz="4" w:space="0" w:color="auto"/>
              <w:right w:val="single" w:sz="4" w:space="0" w:color="auto"/>
            </w:tcBorders>
            <w:shd w:val="clear" w:color="auto" w:fill="auto"/>
            <w:noWrap/>
            <w:vAlign w:val="center"/>
            <w:hideMark/>
          </w:tcPr>
          <w:p w14:paraId="675F232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89.9%</w:t>
            </w:r>
          </w:p>
        </w:tc>
        <w:tc>
          <w:tcPr>
            <w:tcW w:w="862" w:type="dxa"/>
            <w:tcBorders>
              <w:top w:val="nil"/>
              <w:left w:val="nil"/>
              <w:bottom w:val="single" w:sz="4" w:space="0" w:color="auto"/>
              <w:right w:val="single" w:sz="4" w:space="0" w:color="auto"/>
            </w:tcBorders>
            <w:shd w:val="clear" w:color="auto" w:fill="auto"/>
            <w:noWrap/>
            <w:vAlign w:val="center"/>
            <w:hideMark/>
          </w:tcPr>
          <w:p w14:paraId="47D378B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104.1%</w:t>
            </w:r>
          </w:p>
        </w:tc>
        <w:tc>
          <w:tcPr>
            <w:tcW w:w="862" w:type="dxa"/>
            <w:tcBorders>
              <w:top w:val="nil"/>
              <w:left w:val="nil"/>
              <w:bottom w:val="single" w:sz="4" w:space="0" w:color="auto"/>
              <w:right w:val="single" w:sz="4" w:space="0" w:color="auto"/>
            </w:tcBorders>
            <w:shd w:val="clear" w:color="auto" w:fill="auto"/>
            <w:noWrap/>
            <w:vAlign w:val="center"/>
            <w:hideMark/>
          </w:tcPr>
          <w:p w14:paraId="16CAC22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87.2%</w:t>
            </w:r>
          </w:p>
        </w:tc>
      </w:tr>
      <w:tr w:rsidR="00235F98" w:rsidRPr="00235F98" w14:paraId="070FAA00"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3021E5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1998-2000</w:t>
            </w:r>
          </w:p>
        </w:tc>
        <w:tc>
          <w:tcPr>
            <w:tcW w:w="861" w:type="dxa"/>
            <w:tcBorders>
              <w:top w:val="nil"/>
              <w:left w:val="nil"/>
              <w:bottom w:val="single" w:sz="4" w:space="0" w:color="auto"/>
              <w:right w:val="single" w:sz="4" w:space="0" w:color="auto"/>
            </w:tcBorders>
            <w:shd w:val="clear" w:color="000000" w:fill="C6E0B4"/>
            <w:noWrap/>
            <w:vAlign w:val="center"/>
            <w:hideMark/>
          </w:tcPr>
          <w:p w14:paraId="0353D70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45.7%</w:t>
            </w:r>
          </w:p>
        </w:tc>
        <w:tc>
          <w:tcPr>
            <w:tcW w:w="861" w:type="dxa"/>
            <w:tcBorders>
              <w:top w:val="nil"/>
              <w:left w:val="nil"/>
              <w:bottom w:val="single" w:sz="4" w:space="0" w:color="auto"/>
              <w:right w:val="single" w:sz="4" w:space="0" w:color="auto"/>
            </w:tcBorders>
            <w:shd w:val="clear" w:color="auto" w:fill="auto"/>
            <w:noWrap/>
            <w:vAlign w:val="center"/>
            <w:hideMark/>
          </w:tcPr>
          <w:p w14:paraId="426D5AC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33.5%</w:t>
            </w:r>
          </w:p>
        </w:tc>
        <w:tc>
          <w:tcPr>
            <w:tcW w:w="861" w:type="dxa"/>
            <w:tcBorders>
              <w:top w:val="nil"/>
              <w:left w:val="nil"/>
              <w:bottom w:val="single" w:sz="4" w:space="0" w:color="auto"/>
              <w:right w:val="single" w:sz="4" w:space="0" w:color="auto"/>
            </w:tcBorders>
            <w:shd w:val="clear" w:color="auto" w:fill="auto"/>
            <w:noWrap/>
            <w:vAlign w:val="center"/>
            <w:hideMark/>
          </w:tcPr>
          <w:p w14:paraId="78403AF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33.9%</w:t>
            </w:r>
          </w:p>
        </w:tc>
        <w:tc>
          <w:tcPr>
            <w:tcW w:w="862" w:type="dxa"/>
            <w:tcBorders>
              <w:top w:val="nil"/>
              <w:left w:val="nil"/>
              <w:bottom w:val="single" w:sz="4" w:space="0" w:color="auto"/>
              <w:right w:val="single" w:sz="4" w:space="0" w:color="auto"/>
            </w:tcBorders>
            <w:shd w:val="clear" w:color="auto" w:fill="auto"/>
            <w:noWrap/>
            <w:vAlign w:val="center"/>
            <w:hideMark/>
          </w:tcPr>
          <w:p w14:paraId="5323BEA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25.4%</w:t>
            </w:r>
          </w:p>
        </w:tc>
        <w:tc>
          <w:tcPr>
            <w:tcW w:w="862" w:type="dxa"/>
            <w:tcBorders>
              <w:top w:val="nil"/>
              <w:left w:val="nil"/>
              <w:bottom w:val="single" w:sz="4" w:space="0" w:color="auto"/>
              <w:right w:val="single" w:sz="4" w:space="0" w:color="auto"/>
            </w:tcBorders>
            <w:shd w:val="clear" w:color="auto" w:fill="auto"/>
            <w:noWrap/>
            <w:vAlign w:val="center"/>
            <w:hideMark/>
          </w:tcPr>
          <w:p w14:paraId="1D56A05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17.0%</w:t>
            </w:r>
          </w:p>
        </w:tc>
        <w:tc>
          <w:tcPr>
            <w:tcW w:w="862" w:type="dxa"/>
            <w:tcBorders>
              <w:top w:val="nil"/>
              <w:left w:val="nil"/>
              <w:bottom w:val="single" w:sz="4" w:space="0" w:color="auto"/>
              <w:right w:val="single" w:sz="4" w:space="0" w:color="auto"/>
            </w:tcBorders>
            <w:shd w:val="clear" w:color="auto" w:fill="auto"/>
            <w:noWrap/>
            <w:vAlign w:val="center"/>
            <w:hideMark/>
          </w:tcPr>
          <w:p w14:paraId="1F519A2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22.7%</w:t>
            </w:r>
          </w:p>
        </w:tc>
        <w:tc>
          <w:tcPr>
            <w:tcW w:w="862" w:type="dxa"/>
            <w:tcBorders>
              <w:top w:val="nil"/>
              <w:left w:val="nil"/>
              <w:bottom w:val="single" w:sz="4" w:space="0" w:color="auto"/>
              <w:right w:val="single" w:sz="4" w:space="0" w:color="auto"/>
            </w:tcBorders>
            <w:shd w:val="clear" w:color="auto" w:fill="auto"/>
            <w:noWrap/>
            <w:vAlign w:val="center"/>
            <w:hideMark/>
          </w:tcPr>
          <w:p w14:paraId="189453C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11.0%</w:t>
            </w:r>
          </w:p>
        </w:tc>
        <w:tc>
          <w:tcPr>
            <w:tcW w:w="862" w:type="dxa"/>
            <w:tcBorders>
              <w:top w:val="nil"/>
              <w:left w:val="nil"/>
              <w:bottom w:val="single" w:sz="4" w:space="0" w:color="auto"/>
              <w:right w:val="single" w:sz="4" w:space="0" w:color="auto"/>
            </w:tcBorders>
            <w:shd w:val="clear" w:color="auto" w:fill="auto"/>
            <w:noWrap/>
            <w:vAlign w:val="center"/>
            <w:hideMark/>
          </w:tcPr>
          <w:p w14:paraId="0D5F430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22.1%</w:t>
            </w:r>
          </w:p>
        </w:tc>
        <w:tc>
          <w:tcPr>
            <w:tcW w:w="862" w:type="dxa"/>
            <w:tcBorders>
              <w:top w:val="nil"/>
              <w:left w:val="nil"/>
              <w:bottom w:val="single" w:sz="4" w:space="0" w:color="auto"/>
              <w:right w:val="single" w:sz="4" w:space="0" w:color="auto"/>
            </w:tcBorders>
            <w:shd w:val="clear" w:color="auto" w:fill="auto"/>
            <w:noWrap/>
            <w:vAlign w:val="center"/>
            <w:hideMark/>
          </w:tcPr>
          <w:p w14:paraId="1A9A2FF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10.3%</w:t>
            </w:r>
          </w:p>
        </w:tc>
        <w:tc>
          <w:tcPr>
            <w:tcW w:w="862" w:type="dxa"/>
            <w:tcBorders>
              <w:top w:val="nil"/>
              <w:left w:val="nil"/>
              <w:bottom w:val="single" w:sz="4" w:space="0" w:color="auto"/>
              <w:right w:val="single" w:sz="4" w:space="0" w:color="auto"/>
            </w:tcBorders>
            <w:shd w:val="clear" w:color="000000" w:fill="B4C6E7"/>
            <w:noWrap/>
            <w:vAlign w:val="center"/>
            <w:hideMark/>
          </w:tcPr>
          <w:p w14:paraId="282DFB5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-2.1%</w:t>
            </w:r>
          </w:p>
        </w:tc>
      </w:tr>
      <w:tr w:rsidR="00235F98" w:rsidRPr="00235F98" w14:paraId="3198BD67"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7EF9655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2001-03</w:t>
            </w:r>
          </w:p>
        </w:tc>
        <w:tc>
          <w:tcPr>
            <w:tcW w:w="861" w:type="dxa"/>
            <w:tcBorders>
              <w:top w:val="nil"/>
              <w:left w:val="nil"/>
              <w:bottom w:val="single" w:sz="4" w:space="0" w:color="auto"/>
              <w:right w:val="single" w:sz="4" w:space="0" w:color="auto"/>
            </w:tcBorders>
            <w:shd w:val="clear" w:color="000000" w:fill="B4C6E7"/>
            <w:noWrap/>
            <w:vAlign w:val="center"/>
            <w:hideMark/>
          </w:tcPr>
          <w:p w14:paraId="40B296C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-17.4%</w:t>
            </w:r>
          </w:p>
        </w:tc>
        <w:tc>
          <w:tcPr>
            <w:tcW w:w="861" w:type="dxa"/>
            <w:tcBorders>
              <w:top w:val="nil"/>
              <w:left w:val="nil"/>
              <w:bottom w:val="single" w:sz="4" w:space="0" w:color="auto"/>
              <w:right w:val="single" w:sz="4" w:space="0" w:color="auto"/>
            </w:tcBorders>
            <w:shd w:val="clear" w:color="auto" w:fill="auto"/>
            <w:noWrap/>
            <w:vAlign w:val="center"/>
            <w:hideMark/>
          </w:tcPr>
          <w:p w14:paraId="1E4FED3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3.4%</w:t>
            </w:r>
          </w:p>
        </w:tc>
        <w:tc>
          <w:tcPr>
            <w:tcW w:w="861" w:type="dxa"/>
            <w:tcBorders>
              <w:top w:val="nil"/>
              <w:left w:val="nil"/>
              <w:bottom w:val="single" w:sz="4" w:space="0" w:color="auto"/>
              <w:right w:val="single" w:sz="4" w:space="0" w:color="auto"/>
            </w:tcBorders>
            <w:shd w:val="clear" w:color="auto" w:fill="auto"/>
            <w:noWrap/>
            <w:vAlign w:val="center"/>
            <w:hideMark/>
          </w:tcPr>
          <w:p w14:paraId="7B4D5B4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8.0%</w:t>
            </w:r>
          </w:p>
        </w:tc>
        <w:tc>
          <w:tcPr>
            <w:tcW w:w="862" w:type="dxa"/>
            <w:tcBorders>
              <w:top w:val="nil"/>
              <w:left w:val="nil"/>
              <w:bottom w:val="single" w:sz="4" w:space="0" w:color="auto"/>
              <w:right w:val="single" w:sz="4" w:space="0" w:color="auto"/>
            </w:tcBorders>
            <w:shd w:val="clear" w:color="auto" w:fill="auto"/>
            <w:noWrap/>
            <w:vAlign w:val="center"/>
            <w:hideMark/>
          </w:tcPr>
          <w:p w14:paraId="61B2D6D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18.0%</w:t>
            </w:r>
          </w:p>
        </w:tc>
        <w:tc>
          <w:tcPr>
            <w:tcW w:w="862" w:type="dxa"/>
            <w:tcBorders>
              <w:top w:val="nil"/>
              <w:left w:val="nil"/>
              <w:bottom w:val="single" w:sz="4" w:space="0" w:color="auto"/>
              <w:right w:val="single" w:sz="4" w:space="0" w:color="auto"/>
            </w:tcBorders>
            <w:shd w:val="clear" w:color="auto" w:fill="auto"/>
            <w:noWrap/>
            <w:vAlign w:val="center"/>
            <w:hideMark/>
          </w:tcPr>
          <w:p w14:paraId="24E96E5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13.3%</w:t>
            </w:r>
          </w:p>
        </w:tc>
        <w:tc>
          <w:tcPr>
            <w:tcW w:w="862" w:type="dxa"/>
            <w:tcBorders>
              <w:top w:val="nil"/>
              <w:left w:val="nil"/>
              <w:bottom w:val="single" w:sz="4" w:space="0" w:color="auto"/>
              <w:right w:val="single" w:sz="4" w:space="0" w:color="auto"/>
            </w:tcBorders>
            <w:shd w:val="clear" w:color="auto" w:fill="auto"/>
            <w:noWrap/>
            <w:vAlign w:val="center"/>
            <w:hideMark/>
          </w:tcPr>
          <w:p w14:paraId="2A3AF73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27.1%</w:t>
            </w:r>
          </w:p>
        </w:tc>
        <w:tc>
          <w:tcPr>
            <w:tcW w:w="862" w:type="dxa"/>
            <w:tcBorders>
              <w:top w:val="nil"/>
              <w:left w:val="nil"/>
              <w:bottom w:val="single" w:sz="4" w:space="0" w:color="auto"/>
              <w:right w:val="single" w:sz="4" w:space="0" w:color="auto"/>
            </w:tcBorders>
            <w:shd w:val="clear" w:color="auto" w:fill="auto"/>
            <w:noWrap/>
            <w:vAlign w:val="center"/>
            <w:hideMark/>
          </w:tcPr>
          <w:p w14:paraId="3329E8B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31.0%</w:t>
            </w:r>
          </w:p>
        </w:tc>
        <w:tc>
          <w:tcPr>
            <w:tcW w:w="862" w:type="dxa"/>
            <w:tcBorders>
              <w:top w:val="nil"/>
              <w:left w:val="nil"/>
              <w:bottom w:val="single" w:sz="4" w:space="0" w:color="auto"/>
              <w:right w:val="single" w:sz="4" w:space="0" w:color="auto"/>
            </w:tcBorders>
            <w:shd w:val="clear" w:color="auto" w:fill="auto"/>
            <w:noWrap/>
            <w:vAlign w:val="center"/>
            <w:hideMark/>
          </w:tcPr>
          <w:p w14:paraId="69D2A7F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52.8%</w:t>
            </w:r>
          </w:p>
        </w:tc>
        <w:tc>
          <w:tcPr>
            <w:tcW w:w="862" w:type="dxa"/>
            <w:tcBorders>
              <w:top w:val="nil"/>
              <w:left w:val="nil"/>
              <w:bottom w:val="single" w:sz="4" w:space="0" w:color="auto"/>
              <w:right w:val="single" w:sz="4" w:space="0" w:color="auto"/>
            </w:tcBorders>
            <w:shd w:val="clear" w:color="auto" w:fill="auto"/>
            <w:noWrap/>
            <w:vAlign w:val="center"/>
            <w:hideMark/>
          </w:tcPr>
          <w:p w14:paraId="5182EB5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80.0%</w:t>
            </w:r>
          </w:p>
        </w:tc>
        <w:tc>
          <w:tcPr>
            <w:tcW w:w="862" w:type="dxa"/>
            <w:tcBorders>
              <w:top w:val="nil"/>
              <w:left w:val="nil"/>
              <w:bottom w:val="single" w:sz="4" w:space="0" w:color="auto"/>
              <w:right w:val="single" w:sz="4" w:space="0" w:color="auto"/>
            </w:tcBorders>
            <w:shd w:val="clear" w:color="000000" w:fill="C6E0B4"/>
            <w:noWrap/>
            <w:vAlign w:val="center"/>
            <w:hideMark/>
          </w:tcPr>
          <w:p w14:paraId="268AB04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147.3%</w:t>
            </w:r>
          </w:p>
        </w:tc>
      </w:tr>
      <w:tr w:rsidR="00235F98" w:rsidRPr="00235F98" w14:paraId="451A23EB"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4BA6E1B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2004-06</w:t>
            </w:r>
          </w:p>
        </w:tc>
        <w:tc>
          <w:tcPr>
            <w:tcW w:w="861" w:type="dxa"/>
            <w:tcBorders>
              <w:top w:val="nil"/>
              <w:left w:val="nil"/>
              <w:bottom w:val="single" w:sz="4" w:space="0" w:color="auto"/>
              <w:right w:val="single" w:sz="4" w:space="0" w:color="auto"/>
            </w:tcBorders>
            <w:shd w:val="clear" w:color="000000" w:fill="B4C6E7"/>
            <w:noWrap/>
            <w:vAlign w:val="center"/>
            <w:hideMark/>
          </w:tcPr>
          <w:p w14:paraId="5C2D5C3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29.4%</w:t>
            </w:r>
          </w:p>
        </w:tc>
        <w:tc>
          <w:tcPr>
            <w:tcW w:w="861" w:type="dxa"/>
            <w:tcBorders>
              <w:top w:val="nil"/>
              <w:left w:val="nil"/>
              <w:bottom w:val="single" w:sz="4" w:space="0" w:color="auto"/>
              <w:right w:val="single" w:sz="4" w:space="0" w:color="auto"/>
            </w:tcBorders>
            <w:shd w:val="clear" w:color="000000" w:fill="C6E0B4"/>
            <w:noWrap/>
            <w:vAlign w:val="center"/>
            <w:hideMark/>
          </w:tcPr>
          <w:p w14:paraId="533812D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56.3%</w:t>
            </w:r>
          </w:p>
        </w:tc>
        <w:tc>
          <w:tcPr>
            <w:tcW w:w="861" w:type="dxa"/>
            <w:tcBorders>
              <w:top w:val="nil"/>
              <w:left w:val="nil"/>
              <w:bottom w:val="single" w:sz="4" w:space="0" w:color="auto"/>
              <w:right w:val="single" w:sz="4" w:space="0" w:color="auto"/>
            </w:tcBorders>
            <w:shd w:val="clear" w:color="auto" w:fill="auto"/>
            <w:noWrap/>
            <w:vAlign w:val="center"/>
            <w:hideMark/>
          </w:tcPr>
          <w:p w14:paraId="29384A1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51.0%</w:t>
            </w:r>
          </w:p>
        </w:tc>
        <w:tc>
          <w:tcPr>
            <w:tcW w:w="862" w:type="dxa"/>
            <w:tcBorders>
              <w:top w:val="nil"/>
              <w:left w:val="nil"/>
              <w:bottom w:val="single" w:sz="4" w:space="0" w:color="auto"/>
              <w:right w:val="single" w:sz="4" w:space="0" w:color="auto"/>
            </w:tcBorders>
            <w:shd w:val="clear" w:color="auto" w:fill="auto"/>
            <w:noWrap/>
            <w:vAlign w:val="center"/>
            <w:hideMark/>
          </w:tcPr>
          <w:p w14:paraId="6F7EB80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47.0%</w:t>
            </w:r>
          </w:p>
        </w:tc>
        <w:tc>
          <w:tcPr>
            <w:tcW w:w="862" w:type="dxa"/>
            <w:tcBorders>
              <w:top w:val="nil"/>
              <w:left w:val="nil"/>
              <w:bottom w:val="single" w:sz="4" w:space="0" w:color="auto"/>
              <w:right w:val="single" w:sz="4" w:space="0" w:color="auto"/>
            </w:tcBorders>
            <w:shd w:val="clear" w:color="auto" w:fill="auto"/>
            <w:noWrap/>
            <w:vAlign w:val="center"/>
            <w:hideMark/>
          </w:tcPr>
          <w:p w14:paraId="6B66F1C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49.7%</w:t>
            </w:r>
          </w:p>
        </w:tc>
        <w:tc>
          <w:tcPr>
            <w:tcW w:w="862" w:type="dxa"/>
            <w:tcBorders>
              <w:top w:val="nil"/>
              <w:left w:val="nil"/>
              <w:bottom w:val="single" w:sz="4" w:space="0" w:color="auto"/>
              <w:right w:val="single" w:sz="4" w:space="0" w:color="auto"/>
            </w:tcBorders>
            <w:shd w:val="clear" w:color="auto" w:fill="auto"/>
            <w:noWrap/>
            <w:vAlign w:val="center"/>
            <w:hideMark/>
          </w:tcPr>
          <w:p w14:paraId="67566EA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44.5%</w:t>
            </w:r>
          </w:p>
        </w:tc>
        <w:tc>
          <w:tcPr>
            <w:tcW w:w="862" w:type="dxa"/>
            <w:tcBorders>
              <w:top w:val="nil"/>
              <w:left w:val="nil"/>
              <w:bottom w:val="single" w:sz="4" w:space="0" w:color="auto"/>
              <w:right w:val="single" w:sz="4" w:space="0" w:color="auto"/>
            </w:tcBorders>
            <w:shd w:val="clear" w:color="auto" w:fill="auto"/>
            <w:noWrap/>
            <w:vAlign w:val="center"/>
            <w:hideMark/>
          </w:tcPr>
          <w:p w14:paraId="79DF02C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52.7%</w:t>
            </w:r>
          </w:p>
        </w:tc>
        <w:tc>
          <w:tcPr>
            <w:tcW w:w="862" w:type="dxa"/>
            <w:tcBorders>
              <w:top w:val="nil"/>
              <w:left w:val="nil"/>
              <w:bottom w:val="single" w:sz="4" w:space="0" w:color="auto"/>
              <w:right w:val="single" w:sz="4" w:space="0" w:color="auto"/>
            </w:tcBorders>
            <w:shd w:val="clear" w:color="auto" w:fill="auto"/>
            <w:noWrap/>
            <w:vAlign w:val="center"/>
            <w:hideMark/>
          </w:tcPr>
          <w:p w14:paraId="7B79B85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54.8%</w:t>
            </w:r>
          </w:p>
        </w:tc>
        <w:tc>
          <w:tcPr>
            <w:tcW w:w="862" w:type="dxa"/>
            <w:tcBorders>
              <w:top w:val="nil"/>
              <w:left w:val="nil"/>
              <w:bottom w:val="single" w:sz="4" w:space="0" w:color="auto"/>
              <w:right w:val="single" w:sz="4" w:space="0" w:color="auto"/>
            </w:tcBorders>
            <w:shd w:val="clear" w:color="auto" w:fill="auto"/>
            <w:noWrap/>
            <w:vAlign w:val="center"/>
            <w:hideMark/>
          </w:tcPr>
          <w:p w14:paraId="07A303E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37.1%</w:t>
            </w:r>
          </w:p>
        </w:tc>
        <w:tc>
          <w:tcPr>
            <w:tcW w:w="862" w:type="dxa"/>
            <w:tcBorders>
              <w:top w:val="nil"/>
              <w:left w:val="nil"/>
              <w:bottom w:val="single" w:sz="4" w:space="0" w:color="auto"/>
              <w:right w:val="single" w:sz="4" w:space="0" w:color="auto"/>
            </w:tcBorders>
            <w:shd w:val="clear" w:color="auto" w:fill="auto"/>
            <w:noWrap/>
            <w:vAlign w:val="center"/>
            <w:hideMark/>
          </w:tcPr>
          <w:p w14:paraId="13DA9F3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50.7%</w:t>
            </w:r>
          </w:p>
        </w:tc>
      </w:tr>
      <w:tr w:rsidR="00235F98" w:rsidRPr="00235F98" w14:paraId="7A46AE5B"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16E0D7A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2007-09</w:t>
            </w:r>
          </w:p>
        </w:tc>
        <w:tc>
          <w:tcPr>
            <w:tcW w:w="861" w:type="dxa"/>
            <w:tcBorders>
              <w:top w:val="nil"/>
              <w:left w:val="nil"/>
              <w:bottom w:val="single" w:sz="4" w:space="0" w:color="auto"/>
              <w:right w:val="single" w:sz="4" w:space="0" w:color="auto"/>
            </w:tcBorders>
            <w:shd w:val="clear" w:color="000000" w:fill="B4C6E7"/>
            <w:noWrap/>
            <w:vAlign w:val="center"/>
            <w:hideMark/>
          </w:tcPr>
          <w:p w14:paraId="4ABDB6A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-14.8%</w:t>
            </w:r>
          </w:p>
        </w:tc>
        <w:tc>
          <w:tcPr>
            <w:tcW w:w="861" w:type="dxa"/>
            <w:tcBorders>
              <w:top w:val="nil"/>
              <w:left w:val="nil"/>
              <w:bottom w:val="single" w:sz="4" w:space="0" w:color="auto"/>
              <w:right w:val="single" w:sz="4" w:space="0" w:color="auto"/>
            </w:tcBorders>
            <w:shd w:val="clear" w:color="auto" w:fill="auto"/>
            <w:noWrap/>
            <w:vAlign w:val="center"/>
            <w:hideMark/>
          </w:tcPr>
          <w:p w14:paraId="6B14D2BF"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-13.8%</w:t>
            </w:r>
          </w:p>
        </w:tc>
        <w:tc>
          <w:tcPr>
            <w:tcW w:w="861" w:type="dxa"/>
            <w:tcBorders>
              <w:top w:val="nil"/>
              <w:left w:val="nil"/>
              <w:bottom w:val="single" w:sz="4" w:space="0" w:color="auto"/>
              <w:right w:val="single" w:sz="4" w:space="0" w:color="auto"/>
            </w:tcBorders>
            <w:shd w:val="clear" w:color="auto" w:fill="auto"/>
            <w:noWrap/>
            <w:vAlign w:val="center"/>
            <w:hideMark/>
          </w:tcPr>
          <w:p w14:paraId="18E5DE6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-14.7%</w:t>
            </w:r>
          </w:p>
        </w:tc>
        <w:tc>
          <w:tcPr>
            <w:tcW w:w="862" w:type="dxa"/>
            <w:tcBorders>
              <w:top w:val="nil"/>
              <w:left w:val="nil"/>
              <w:bottom w:val="single" w:sz="4" w:space="0" w:color="auto"/>
              <w:right w:val="single" w:sz="4" w:space="0" w:color="auto"/>
            </w:tcBorders>
            <w:shd w:val="clear" w:color="auto" w:fill="auto"/>
            <w:noWrap/>
            <w:vAlign w:val="center"/>
            <w:hideMark/>
          </w:tcPr>
          <w:p w14:paraId="4592CAF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w:t>
            </w:r>
          </w:p>
        </w:tc>
        <w:tc>
          <w:tcPr>
            <w:tcW w:w="862" w:type="dxa"/>
            <w:tcBorders>
              <w:top w:val="nil"/>
              <w:left w:val="nil"/>
              <w:bottom w:val="single" w:sz="4" w:space="0" w:color="auto"/>
              <w:right w:val="single" w:sz="4" w:space="0" w:color="auto"/>
            </w:tcBorders>
            <w:shd w:val="clear" w:color="000000" w:fill="C6E0B4"/>
            <w:noWrap/>
            <w:vAlign w:val="center"/>
            <w:hideMark/>
          </w:tcPr>
          <w:p w14:paraId="2B808D7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0.1%</w:t>
            </w:r>
          </w:p>
        </w:tc>
        <w:tc>
          <w:tcPr>
            <w:tcW w:w="862" w:type="dxa"/>
            <w:tcBorders>
              <w:top w:val="nil"/>
              <w:left w:val="nil"/>
              <w:bottom w:val="single" w:sz="4" w:space="0" w:color="auto"/>
              <w:right w:val="single" w:sz="4" w:space="0" w:color="auto"/>
            </w:tcBorders>
            <w:shd w:val="clear" w:color="auto" w:fill="auto"/>
            <w:noWrap/>
            <w:vAlign w:val="center"/>
            <w:hideMark/>
          </w:tcPr>
          <w:p w14:paraId="7DBFE91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-11.2%</w:t>
            </w:r>
          </w:p>
        </w:tc>
        <w:tc>
          <w:tcPr>
            <w:tcW w:w="862" w:type="dxa"/>
            <w:tcBorders>
              <w:top w:val="nil"/>
              <w:left w:val="nil"/>
              <w:bottom w:val="single" w:sz="4" w:space="0" w:color="auto"/>
              <w:right w:val="single" w:sz="4" w:space="0" w:color="auto"/>
            </w:tcBorders>
            <w:shd w:val="clear" w:color="auto" w:fill="auto"/>
            <w:noWrap/>
            <w:vAlign w:val="center"/>
            <w:hideMark/>
          </w:tcPr>
          <w:p w14:paraId="465F0A6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-9.6%</w:t>
            </w:r>
          </w:p>
        </w:tc>
        <w:tc>
          <w:tcPr>
            <w:tcW w:w="862" w:type="dxa"/>
            <w:tcBorders>
              <w:top w:val="nil"/>
              <w:left w:val="nil"/>
              <w:bottom w:val="single" w:sz="4" w:space="0" w:color="auto"/>
              <w:right w:val="single" w:sz="4" w:space="0" w:color="auto"/>
            </w:tcBorders>
            <w:shd w:val="clear" w:color="auto" w:fill="auto"/>
            <w:noWrap/>
            <w:vAlign w:val="center"/>
            <w:hideMark/>
          </w:tcPr>
          <w:p w14:paraId="471ED77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-9.3%</w:t>
            </w:r>
          </w:p>
        </w:tc>
        <w:tc>
          <w:tcPr>
            <w:tcW w:w="862" w:type="dxa"/>
            <w:tcBorders>
              <w:top w:val="nil"/>
              <w:left w:val="nil"/>
              <w:bottom w:val="single" w:sz="4" w:space="0" w:color="auto"/>
              <w:right w:val="single" w:sz="4" w:space="0" w:color="auto"/>
            </w:tcBorders>
            <w:shd w:val="clear" w:color="auto" w:fill="auto"/>
            <w:noWrap/>
            <w:vAlign w:val="center"/>
            <w:hideMark/>
          </w:tcPr>
          <w:p w14:paraId="053D36C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-11.1%</w:t>
            </w:r>
          </w:p>
        </w:tc>
        <w:tc>
          <w:tcPr>
            <w:tcW w:w="862" w:type="dxa"/>
            <w:tcBorders>
              <w:top w:val="nil"/>
              <w:left w:val="nil"/>
              <w:bottom w:val="single" w:sz="4" w:space="0" w:color="auto"/>
              <w:right w:val="single" w:sz="4" w:space="0" w:color="auto"/>
            </w:tcBorders>
            <w:shd w:val="clear" w:color="auto" w:fill="auto"/>
            <w:noWrap/>
            <w:vAlign w:val="center"/>
            <w:hideMark/>
          </w:tcPr>
          <w:p w14:paraId="186BCA9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-14.1%</w:t>
            </w:r>
          </w:p>
        </w:tc>
      </w:tr>
      <w:tr w:rsidR="00235F98" w:rsidRPr="00235F98" w14:paraId="3C7BC277"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049BD42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2010-12</w:t>
            </w:r>
          </w:p>
        </w:tc>
        <w:tc>
          <w:tcPr>
            <w:tcW w:w="861" w:type="dxa"/>
            <w:tcBorders>
              <w:top w:val="nil"/>
              <w:left w:val="nil"/>
              <w:bottom w:val="single" w:sz="4" w:space="0" w:color="auto"/>
              <w:right w:val="single" w:sz="4" w:space="0" w:color="auto"/>
            </w:tcBorders>
            <w:shd w:val="clear" w:color="000000" w:fill="B4C6E7"/>
            <w:noWrap/>
            <w:vAlign w:val="center"/>
            <w:hideMark/>
          </w:tcPr>
          <w:p w14:paraId="692739E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34.1%</w:t>
            </w:r>
          </w:p>
        </w:tc>
        <w:tc>
          <w:tcPr>
            <w:tcW w:w="861" w:type="dxa"/>
            <w:tcBorders>
              <w:top w:val="nil"/>
              <w:left w:val="nil"/>
              <w:bottom w:val="single" w:sz="4" w:space="0" w:color="auto"/>
              <w:right w:val="single" w:sz="4" w:space="0" w:color="auto"/>
            </w:tcBorders>
            <w:shd w:val="clear" w:color="auto" w:fill="auto"/>
            <w:noWrap/>
            <w:vAlign w:val="center"/>
            <w:hideMark/>
          </w:tcPr>
          <w:p w14:paraId="20E458C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42.0%</w:t>
            </w:r>
          </w:p>
        </w:tc>
        <w:tc>
          <w:tcPr>
            <w:tcW w:w="861" w:type="dxa"/>
            <w:tcBorders>
              <w:top w:val="nil"/>
              <w:left w:val="nil"/>
              <w:bottom w:val="single" w:sz="4" w:space="0" w:color="auto"/>
              <w:right w:val="single" w:sz="4" w:space="0" w:color="auto"/>
            </w:tcBorders>
            <w:shd w:val="clear" w:color="000000" w:fill="C6E0B4"/>
            <w:noWrap/>
            <w:vAlign w:val="center"/>
            <w:hideMark/>
          </w:tcPr>
          <w:p w14:paraId="732EEE0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48.6%</w:t>
            </w:r>
          </w:p>
        </w:tc>
        <w:tc>
          <w:tcPr>
            <w:tcW w:w="862" w:type="dxa"/>
            <w:tcBorders>
              <w:top w:val="nil"/>
              <w:left w:val="nil"/>
              <w:bottom w:val="single" w:sz="4" w:space="0" w:color="auto"/>
              <w:right w:val="single" w:sz="4" w:space="0" w:color="auto"/>
            </w:tcBorders>
            <w:shd w:val="clear" w:color="auto" w:fill="auto"/>
            <w:noWrap/>
            <w:vAlign w:val="center"/>
            <w:hideMark/>
          </w:tcPr>
          <w:p w14:paraId="6A6DBE81"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42.6%</w:t>
            </w:r>
          </w:p>
        </w:tc>
        <w:tc>
          <w:tcPr>
            <w:tcW w:w="862" w:type="dxa"/>
            <w:tcBorders>
              <w:top w:val="nil"/>
              <w:left w:val="nil"/>
              <w:bottom w:val="single" w:sz="4" w:space="0" w:color="auto"/>
              <w:right w:val="single" w:sz="4" w:space="0" w:color="auto"/>
            </w:tcBorders>
            <w:shd w:val="clear" w:color="auto" w:fill="auto"/>
            <w:noWrap/>
            <w:vAlign w:val="center"/>
            <w:hideMark/>
          </w:tcPr>
          <w:p w14:paraId="0F325DC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48.6%</w:t>
            </w:r>
          </w:p>
        </w:tc>
        <w:tc>
          <w:tcPr>
            <w:tcW w:w="862" w:type="dxa"/>
            <w:tcBorders>
              <w:top w:val="nil"/>
              <w:left w:val="nil"/>
              <w:bottom w:val="single" w:sz="4" w:space="0" w:color="auto"/>
              <w:right w:val="single" w:sz="4" w:space="0" w:color="auto"/>
            </w:tcBorders>
            <w:shd w:val="clear" w:color="auto" w:fill="auto"/>
            <w:noWrap/>
            <w:vAlign w:val="center"/>
            <w:hideMark/>
          </w:tcPr>
          <w:p w14:paraId="1A43E83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48.6%</w:t>
            </w:r>
          </w:p>
        </w:tc>
        <w:tc>
          <w:tcPr>
            <w:tcW w:w="862" w:type="dxa"/>
            <w:tcBorders>
              <w:top w:val="nil"/>
              <w:left w:val="nil"/>
              <w:bottom w:val="single" w:sz="4" w:space="0" w:color="auto"/>
              <w:right w:val="single" w:sz="4" w:space="0" w:color="auto"/>
            </w:tcBorders>
            <w:shd w:val="clear" w:color="auto" w:fill="auto"/>
            <w:noWrap/>
            <w:vAlign w:val="center"/>
            <w:hideMark/>
          </w:tcPr>
          <w:p w14:paraId="3A2F7E4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47.8%</w:t>
            </w:r>
          </w:p>
        </w:tc>
        <w:tc>
          <w:tcPr>
            <w:tcW w:w="862" w:type="dxa"/>
            <w:tcBorders>
              <w:top w:val="nil"/>
              <w:left w:val="nil"/>
              <w:bottom w:val="single" w:sz="4" w:space="0" w:color="auto"/>
              <w:right w:val="single" w:sz="4" w:space="0" w:color="auto"/>
            </w:tcBorders>
            <w:shd w:val="clear" w:color="auto" w:fill="auto"/>
            <w:noWrap/>
            <w:vAlign w:val="center"/>
            <w:hideMark/>
          </w:tcPr>
          <w:p w14:paraId="4B0C923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47.0%</w:t>
            </w:r>
          </w:p>
        </w:tc>
        <w:tc>
          <w:tcPr>
            <w:tcW w:w="862" w:type="dxa"/>
            <w:tcBorders>
              <w:top w:val="nil"/>
              <w:left w:val="nil"/>
              <w:bottom w:val="single" w:sz="4" w:space="0" w:color="auto"/>
              <w:right w:val="single" w:sz="4" w:space="0" w:color="auto"/>
            </w:tcBorders>
            <w:shd w:val="clear" w:color="auto" w:fill="auto"/>
            <w:noWrap/>
            <w:vAlign w:val="center"/>
            <w:hideMark/>
          </w:tcPr>
          <w:p w14:paraId="3C52C7D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37.2%</w:t>
            </w:r>
          </w:p>
        </w:tc>
        <w:tc>
          <w:tcPr>
            <w:tcW w:w="862" w:type="dxa"/>
            <w:tcBorders>
              <w:top w:val="nil"/>
              <w:left w:val="nil"/>
              <w:bottom w:val="single" w:sz="4" w:space="0" w:color="auto"/>
              <w:right w:val="single" w:sz="4" w:space="0" w:color="auto"/>
            </w:tcBorders>
            <w:shd w:val="clear" w:color="auto" w:fill="auto"/>
            <w:noWrap/>
            <w:vAlign w:val="center"/>
            <w:hideMark/>
          </w:tcPr>
          <w:p w14:paraId="4ECA286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35.2%</w:t>
            </w:r>
          </w:p>
        </w:tc>
      </w:tr>
      <w:tr w:rsidR="00235F98" w:rsidRPr="00235F98" w14:paraId="5A76F964"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72E03608"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2013-15</w:t>
            </w:r>
          </w:p>
        </w:tc>
        <w:tc>
          <w:tcPr>
            <w:tcW w:w="861" w:type="dxa"/>
            <w:tcBorders>
              <w:top w:val="nil"/>
              <w:left w:val="nil"/>
              <w:bottom w:val="single" w:sz="4" w:space="0" w:color="auto"/>
              <w:right w:val="single" w:sz="4" w:space="0" w:color="auto"/>
            </w:tcBorders>
            <w:shd w:val="clear" w:color="auto" w:fill="auto"/>
            <w:noWrap/>
            <w:vAlign w:val="center"/>
            <w:hideMark/>
          </w:tcPr>
          <w:p w14:paraId="1E85B2D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51.7%</w:t>
            </w:r>
          </w:p>
        </w:tc>
        <w:tc>
          <w:tcPr>
            <w:tcW w:w="861" w:type="dxa"/>
            <w:tcBorders>
              <w:top w:val="nil"/>
              <w:left w:val="nil"/>
              <w:bottom w:val="single" w:sz="4" w:space="0" w:color="auto"/>
              <w:right w:val="single" w:sz="4" w:space="0" w:color="auto"/>
            </w:tcBorders>
            <w:shd w:val="clear" w:color="000000" w:fill="C6E0B4"/>
            <w:noWrap/>
            <w:vAlign w:val="center"/>
            <w:hideMark/>
          </w:tcPr>
          <w:p w14:paraId="0A2AA52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53.8%</w:t>
            </w:r>
          </w:p>
        </w:tc>
        <w:tc>
          <w:tcPr>
            <w:tcW w:w="861" w:type="dxa"/>
            <w:tcBorders>
              <w:top w:val="nil"/>
              <w:left w:val="nil"/>
              <w:bottom w:val="single" w:sz="4" w:space="0" w:color="auto"/>
              <w:right w:val="single" w:sz="4" w:space="0" w:color="auto"/>
            </w:tcBorders>
            <w:shd w:val="clear" w:color="auto" w:fill="auto"/>
            <w:noWrap/>
            <w:vAlign w:val="center"/>
            <w:hideMark/>
          </w:tcPr>
          <w:p w14:paraId="210F2BE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45.8%</w:t>
            </w:r>
          </w:p>
        </w:tc>
        <w:tc>
          <w:tcPr>
            <w:tcW w:w="862" w:type="dxa"/>
            <w:tcBorders>
              <w:top w:val="nil"/>
              <w:left w:val="nil"/>
              <w:bottom w:val="single" w:sz="4" w:space="0" w:color="auto"/>
              <w:right w:val="single" w:sz="4" w:space="0" w:color="auto"/>
            </w:tcBorders>
            <w:shd w:val="clear" w:color="auto" w:fill="auto"/>
            <w:noWrap/>
            <w:vAlign w:val="center"/>
            <w:hideMark/>
          </w:tcPr>
          <w:p w14:paraId="5E14091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48.0%</w:t>
            </w:r>
          </w:p>
        </w:tc>
        <w:tc>
          <w:tcPr>
            <w:tcW w:w="862" w:type="dxa"/>
            <w:tcBorders>
              <w:top w:val="nil"/>
              <w:left w:val="nil"/>
              <w:bottom w:val="single" w:sz="4" w:space="0" w:color="auto"/>
              <w:right w:val="single" w:sz="4" w:space="0" w:color="auto"/>
            </w:tcBorders>
            <w:shd w:val="clear" w:color="auto" w:fill="auto"/>
            <w:noWrap/>
            <w:vAlign w:val="center"/>
            <w:hideMark/>
          </w:tcPr>
          <w:p w14:paraId="41AEB9B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37.7%</w:t>
            </w:r>
          </w:p>
        </w:tc>
        <w:tc>
          <w:tcPr>
            <w:tcW w:w="862" w:type="dxa"/>
            <w:tcBorders>
              <w:top w:val="nil"/>
              <w:left w:val="nil"/>
              <w:bottom w:val="single" w:sz="4" w:space="0" w:color="auto"/>
              <w:right w:val="single" w:sz="4" w:space="0" w:color="auto"/>
            </w:tcBorders>
            <w:shd w:val="clear" w:color="auto" w:fill="auto"/>
            <w:noWrap/>
            <w:vAlign w:val="center"/>
            <w:hideMark/>
          </w:tcPr>
          <w:p w14:paraId="67165D1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37.0%</w:t>
            </w:r>
          </w:p>
        </w:tc>
        <w:tc>
          <w:tcPr>
            <w:tcW w:w="862" w:type="dxa"/>
            <w:tcBorders>
              <w:top w:val="nil"/>
              <w:left w:val="nil"/>
              <w:bottom w:val="single" w:sz="4" w:space="0" w:color="auto"/>
              <w:right w:val="single" w:sz="4" w:space="0" w:color="auto"/>
            </w:tcBorders>
            <w:shd w:val="clear" w:color="auto" w:fill="auto"/>
            <w:noWrap/>
            <w:vAlign w:val="center"/>
            <w:hideMark/>
          </w:tcPr>
          <w:p w14:paraId="5FFE387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43.0%</w:t>
            </w:r>
          </w:p>
        </w:tc>
        <w:tc>
          <w:tcPr>
            <w:tcW w:w="862" w:type="dxa"/>
            <w:tcBorders>
              <w:top w:val="nil"/>
              <w:left w:val="nil"/>
              <w:bottom w:val="single" w:sz="4" w:space="0" w:color="auto"/>
              <w:right w:val="single" w:sz="4" w:space="0" w:color="auto"/>
            </w:tcBorders>
            <w:shd w:val="clear" w:color="auto" w:fill="auto"/>
            <w:noWrap/>
            <w:vAlign w:val="center"/>
            <w:hideMark/>
          </w:tcPr>
          <w:p w14:paraId="36C9D3E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36.2%</w:t>
            </w:r>
          </w:p>
        </w:tc>
        <w:tc>
          <w:tcPr>
            <w:tcW w:w="862" w:type="dxa"/>
            <w:tcBorders>
              <w:top w:val="nil"/>
              <w:left w:val="nil"/>
              <w:bottom w:val="single" w:sz="4" w:space="0" w:color="auto"/>
              <w:right w:val="single" w:sz="4" w:space="0" w:color="auto"/>
            </w:tcBorders>
            <w:shd w:val="clear" w:color="auto" w:fill="auto"/>
            <w:noWrap/>
            <w:vAlign w:val="center"/>
            <w:hideMark/>
          </w:tcPr>
          <w:p w14:paraId="77D3EDA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35.9%</w:t>
            </w:r>
          </w:p>
        </w:tc>
        <w:tc>
          <w:tcPr>
            <w:tcW w:w="862" w:type="dxa"/>
            <w:tcBorders>
              <w:top w:val="nil"/>
              <w:left w:val="nil"/>
              <w:bottom w:val="single" w:sz="4" w:space="0" w:color="auto"/>
              <w:right w:val="single" w:sz="4" w:space="0" w:color="auto"/>
            </w:tcBorders>
            <w:shd w:val="clear" w:color="000000" w:fill="B4C6E7"/>
            <w:noWrap/>
            <w:vAlign w:val="center"/>
            <w:hideMark/>
          </w:tcPr>
          <w:p w14:paraId="1850451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35.4%</w:t>
            </w:r>
          </w:p>
        </w:tc>
      </w:tr>
      <w:tr w:rsidR="00235F98" w:rsidRPr="00235F98" w14:paraId="280DB754"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214A451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2016-18</w:t>
            </w:r>
          </w:p>
        </w:tc>
        <w:tc>
          <w:tcPr>
            <w:tcW w:w="861" w:type="dxa"/>
            <w:tcBorders>
              <w:top w:val="nil"/>
              <w:left w:val="nil"/>
              <w:bottom w:val="single" w:sz="4" w:space="0" w:color="auto"/>
              <w:right w:val="single" w:sz="4" w:space="0" w:color="auto"/>
            </w:tcBorders>
            <w:shd w:val="clear" w:color="000000" w:fill="C6E0B4"/>
            <w:noWrap/>
            <w:vAlign w:val="center"/>
            <w:hideMark/>
          </w:tcPr>
          <w:p w14:paraId="3949ACC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33.3%</w:t>
            </w:r>
          </w:p>
        </w:tc>
        <w:tc>
          <w:tcPr>
            <w:tcW w:w="861" w:type="dxa"/>
            <w:tcBorders>
              <w:top w:val="nil"/>
              <w:left w:val="nil"/>
              <w:bottom w:val="single" w:sz="4" w:space="0" w:color="auto"/>
              <w:right w:val="single" w:sz="4" w:space="0" w:color="auto"/>
            </w:tcBorders>
            <w:shd w:val="clear" w:color="auto" w:fill="auto"/>
            <w:noWrap/>
            <w:vAlign w:val="center"/>
            <w:hideMark/>
          </w:tcPr>
          <w:p w14:paraId="5A75CF7E"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27.4%</w:t>
            </w:r>
          </w:p>
        </w:tc>
        <w:tc>
          <w:tcPr>
            <w:tcW w:w="861" w:type="dxa"/>
            <w:tcBorders>
              <w:top w:val="nil"/>
              <w:left w:val="nil"/>
              <w:bottom w:val="single" w:sz="4" w:space="0" w:color="auto"/>
              <w:right w:val="single" w:sz="4" w:space="0" w:color="auto"/>
            </w:tcBorders>
            <w:shd w:val="clear" w:color="auto" w:fill="auto"/>
            <w:noWrap/>
            <w:vAlign w:val="center"/>
            <w:hideMark/>
          </w:tcPr>
          <w:p w14:paraId="74A5EB03"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28.4%</w:t>
            </w:r>
          </w:p>
        </w:tc>
        <w:tc>
          <w:tcPr>
            <w:tcW w:w="862" w:type="dxa"/>
            <w:tcBorders>
              <w:top w:val="nil"/>
              <w:left w:val="nil"/>
              <w:bottom w:val="single" w:sz="4" w:space="0" w:color="auto"/>
              <w:right w:val="single" w:sz="4" w:space="0" w:color="auto"/>
            </w:tcBorders>
            <w:shd w:val="clear" w:color="auto" w:fill="auto"/>
            <w:noWrap/>
            <w:vAlign w:val="center"/>
            <w:hideMark/>
          </w:tcPr>
          <w:p w14:paraId="1C35D4E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18.5%</w:t>
            </w:r>
          </w:p>
        </w:tc>
        <w:tc>
          <w:tcPr>
            <w:tcW w:w="862" w:type="dxa"/>
            <w:tcBorders>
              <w:top w:val="nil"/>
              <w:left w:val="nil"/>
              <w:bottom w:val="single" w:sz="4" w:space="0" w:color="auto"/>
              <w:right w:val="single" w:sz="4" w:space="0" w:color="auto"/>
            </w:tcBorders>
            <w:shd w:val="clear" w:color="auto" w:fill="auto"/>
            <w:noWrap/>
            <w:vAlign w:val="center"/>
            <w:hideMark/>
          </w:tcPr>
          <w:p w14:paraId="5835F48A"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17.3%</w:t>
            </w:r>
          </w:p>
        </w:tc>
        <w:tc>
          <w:tcPr>
            <w:tcW w:w="862" w:type="dxa"/>
            <w:tcBorders>
              <w:top w:val="nil"/>
              <w:left w:val="nil"/>
              <w:bottom w:val="single" w:sz="4" w:space="0" w:color="auto"/>
              <w:right w:val="single" w:sz="4" w:space="0" w:color="auto"/>
            </w:tcBorders>
            <w:shd w:val="clear" w:color="auto" w:fill="auto"/>
            <w:noWrap/>
            <w:vAlign w:val="center"/>
            <w:hideMark/>
          </w:tcPr>
          <w:p w14:paraId="28F342AD"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19.7%</w:t>
            </w:r>
          </w:p>
        </w:tc>
        <w:tc>
          <w:tcPr>
            <w:tcW w:w="862" w:type="dxa"/>
            <w:tcBorders>
              <w:top w:val="nil"/>
              <w:left w:val="nil"/>
              <w:bottom w:val="single" w:sz="4" w:space="0" w:color="auto"/>
              <w:right w:val="single" w:sz="4" w:space="0" w:color="auto"/>
            </w:tcBorders>
            <w:shd w:val="clear" w:color="auto" w:fill="auto"/>
            <w:noWrap/>
            <w:vAlign w:val="center"/>
            <w:hideMark/>
          </w:tcPr>
          <w:p w14:paraId="1751B9F2"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28.6%</w:t>
            </w:r>
          </w:p>
        </w:tc>
        <w:tc>
          <w:tcPr>
            <w:tcW w:w="862" w:type="dxa"/>
            <w:tcBorders>
              <w:top w:val="nil"/>
              <w:left w:val="nil"/>
              <w:bottom w:val="single" w:sz="4" w:space="0" w:color="auto"/>
              <w:right w:val="single" w:sz="4" w:space="0" w:color="auto"/>
            </w:tcBorders>
            <w:shd w:val="clear" w:color="auto" w:fill="auto"/>
            <w:noWrap/>
            <w:vAlign w:val="center"/>
            <w:hideMark/>
          </w:tcPr>
          <w:p w14:paraId="35573D4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17.3%</w:t>
            </w:r>
          </w:p>
        </w:tc>
        <w:tc>
          <w:tcPr>
            <w:tcW w:w="862" w:type="dxa"/>
            <w:tcBorders>
              <w:top w:val="nil"/>
              <w:left w:val="nil"/>
              <w:bottom w:val="single" w:sz="4" w:space="0" w:color="auto"/>
              <w:right w:val="single" w:sz="4" w:space="0" w:color="auto"/>
            </w:tcBorders>
            <w:shd w:val="clear" w:color="auto" w:fill="auto"/>
            <w:noWrap/>
            <w:vAlign w:val="center"/>
            <w:hideMark/>
          </w:tcPr>
          <w:p w14:paraId="6ED58CE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29.2%</w:t>
            </w:r>
          </w:p>
        </w:tc>
        <w:tc>
          <w:tcPr>
            <w:tcW w:w="862" w:type="dxa"/>
            <w:tcBorders>
              <w:top w:val="nil"/>
              <w:left w:val="nil"/>
              <w:bottom w:val="single" w:sz="4" w:space="0" w:color="auto"/>
              <w:right w:val="single" w:sz="4" w:space="0" w:color="auto"/>
            </w:tcBorders>
            <w:shd w:val="clear" w:color="000000" w:fill="B4C6E7"/>
            <w:noWrap/>
            <w:vAlign w:val="center"/>
            <w:hideMark/>
          </w:tcPr>
          <w:p w14:paraId="118B4CC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10.7%</w:t>
            </w:r>
          </w:p>
        </w:tc>
      </w:tr>
      <w:tr w:rsidR="00235F98" w:rsidRPr="00235F98" w14:paraId="01EE9C96" w14:textId="77777777" w:rsidTr="00BD390E">
        <w:trPr>
          <w:trHeight w:val="288"/>
        </w:trPr>
        <w:tc>
          <w:tcPr>
            <w:tcW w:w="1098" w:type="dxa"/>
            <w:tcBorders>
              <w:top w:val="nil"/>
              <w:left w:val="single" w:sz="4" w:space="0" w:color="auto"/>
              <w:bottom w:val="single" w:sz="4" w:space="0" w:color="auto"/>
              <w:right w:val="single" w:sz="4" w:space="0" w:color="auto"/>
            </w:tcBorders>
            <w:shd w:val="clear" w:color="auto" w:fill="auto"/>
            <w:noWrap/>
            <w:vAlign w:val="center"/>
            <w:hideMark/>
          </w:tcPr>
          <w:p w14:paraId="313ED21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2019</w:t>
            </w:r>
          </w:p>
        </w:tc>
        <w:tc>
          <w:tcPr>
            <w:tcW w:w="861" w:type="dxa"/>
            <w:tcBorders>
              <w:top w:val="nil"/>
              <w:left w:val="nil"/>
              <w:bottom w:val="single" w:sz="4" w:space="0" w:color="auto"/>
              <w:right w:val="single" w:sz="4" w:space="0" w:color="auto"/>
            </w:tcBorders>
            <w:shd w:val="clear" w:color="auto" w:fill="auto"/>
            <w:noWrap/>
            <w:vAlign w:val="center"/>
            <w:hideMark/>
          </w:tcPr>
          <w:p w14:paraId="520F1F50"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31.1%</w:t>
            </w:r>
          </w:p>
        </w:tc>
        <w:tc>
          <w:tcPr>
            <w:tcW w:w="861" w:type="dxa"/>
            <w:tcBorders>
              <w:top w:val="nil"/>
              <w:left w:val="nil"/>
              <w:bottom w:val="single" w:sz="4" w:space="0" w:color="auto"/>
              <w:right w:val="single" w:sz="4" w:space="0" w:color="auto"/>
            </w:tcBorders>
            <w:shd w:val="clear" w:color="000000" w:fill="C6E0B4"/>
            <w:noWrap/>
            <w:vAlign w:val="center"/>
            <w:hideMark/>
          </w:tcPr>
          <w:p w14:paraId="2931212C"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31.2%</w:t>
            </w:r>
          </w:p>
        </w:tc>
        <w:tc>
          <w:tcPr>
            <w:tcW w:w="861" w:type="dxa"/>
            <w:tcBorders>
              <w:top w:val="nil"/>
              <w:left w:val="nil"/>
              <w:bottom w:val="single" w:sz="4" w:space="0" w:color="auto"/>
              <w:right w:val="single" w:sz="4" w:space="0" w:color="auto"/>
            </w:tcBorders>
            <w:shd w:val="clear" w:color="auto" w:fill="auto"/>
            <w:noWrap/>
            <w:vAlign w:val="center"/>
            <w:hideMark/>
          </w:tcPr>
          <w:p w14:paraId="5CD2580B"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28.9%</w:t>
            </w:r>
          </w:p>
        </w:tc>
        <w:tc>
          <w:tcPr>
            <w:tcW w:w="862" w:type="dxa"/>
            <w:tcBorders>
              <w:top w:val="nil"/>
              <w:left w:val="nil"/>
              <w:bottom w:val="single" w:sz="4" w:space="0" w:color="auto"/>
              <w:right w:val="single" w:sz="4" w:space="0" w:color="auto"/>
            </w:tcBorders>
            <w:shd w:val="clear" w:color="auto" w:fill="auto"/>
            <w:noWrap/>
            <w:vAlign w:val="center"/>
            <w:hideMark/>
          </w:tcPr>
          <w:p w14:paraId="0C888DA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30.8%</w:t>
            </w:r>
          </w:p>
        </w:tc>
        <w:tc>
          <w:tcPr>
            <w:tcW w:w="862" w:type="dxa"/>
            <w:tcBorders>
              <w:top w:val="nil"/>
              <w:left w:val="nil"/>
              <w:bottom w:val="single" w:sz="4" w:space="0" w:color="auto"/>
              <w:right w:val="single" w:sz="4" w:space="0" w:color="auto"/>
            </w:tcBorders>
            <w:shd w:val="clear" w:color="000000" w:fill="B4C6E7"/>
            <w:noWrap/>
            <w:vAlign w:val="center"/>
            <w:hideMark/>
          </w:tcPr>
          <w:p w14:paraId="6DAE98C7"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22.5%</w:t>
            </w:r>
          </w:p>
        </w:tc>
        <w:tc>
          <w:tcPr>
            <w:tcW w:w="862" w:type="dxa"/>
            <w:tcBorders>
              <w:top w:val="nil"/>
              <w:left w:val="nil"/>
              <w:bottom w:val="single" w:sz="4" w:space="0" w:color="auto"/>
              <w:right w:val="single" w:sz="4" w:space="0" w:color="auto"/>
            </w:tcBorders>
            <w:shd w:val="clear" w:color="auto" w:fill="auto"/>
            <w:noWrap/>
            <w:vAlign w:val="center"/>
            <w:hideMark/>
          </w:tcPr>
          <w:p w14:paraId="5E280014"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22.6%</w:t>
            </w:r>
          </w:p>
        </w:tc>
        <w:tc>
          <w:tcPr>
            <w:tcW w:w="862" w:type="dxa"/>
            <w:tcBorders>
              <w:top w:val="nil"/>
              <w:left w:val="nil"/>
              <w:bottom w:val="single" w:sz="4" w:space="0" w:color="auto"/>
              <w:right w:val="single" w:sz="4" w:space="0" w:color="auto"/>
            </w:tcBorders>
            <w:shd w:val="clear" w:color="auto" w:fill="auto"/>
            <w:noWrap/>
            <w:vAlign w:val="center"/>
            <w:hideMark/>
          </w:tcPr>
          <w:p w14:paraId="3F97EDC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29.2%</w:t>
            </w:r>
          </w:p>
        </w:tc>
        <w:tc>
          <w:tcPr>
            <w:tcW w:w="862" w:type="dxa"/>
            <w:tcBorders>
              <w:top w:val="nil"/>
              <w:left w:val="nil"/>
              <w:bottom w:val="single" w:sz="4" w:space="0" w:color="auto"/>
              <w:right w:val="single" w:sz="4" w:space="0" w:color="auto"/>
            </w:tcBorders>
            <w:shd w:val="clear" w:color="auto" w:fill="auto"/>
            <w:noWrap/>
            <w:vAlign w:val="center"/>
            <w:hideMark/>
          </w:tcPr>
          <w:p w14:paraId="428A0EC9"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22.5%</w:t>
            </w:r>
          </w:p>
        </w:tc>
        <w:tc>
          <w:tcPr>
            <w:tcW w:w="862" w:type="dxa"/>
            <w:tcBorders>
              <w:top w:val="nil"/>
              <w:left w:val="nil"/>
              <w:bottom w:val="single" w:sz="4" w:space="0" w:color="auto"/>
              <w:right w:val="single" w:sz="4" w:space="0" w:color="auto"/>
            </w:tcBorders>
            <w:shd w:val="clear" w:color="auto" w:fill="auto"/>
            <w:noWrap/>
            <w:vAlign w:val="center"/>
            <w:hideMark/>
          </w:tcPr>
          <w:p w14:paraId="45661BE5"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22.6%</w:t>
            </w:r>
          </w:p>
        </w:tc>
        <w:tc>
          <w:tcPr>
            <w:tcW w:w="862" w:type="dxa"/>
            <w:tcBorders>
              <w:top w:val="nil"/>
              <w:left w:val="nil"/>
              <w:bottom w:val="single" w:sz="4" w:space="0" w:color="auto"/>
              <w:right w:val="single" w:sz="4" w:space="0" w:color="auto"/>
            </w:tcBorders>
            <w:shd w:val="clear" w:color="auto" w:fill="auto"/>
            <w:noWrap/>
            <w:vAlign w:val="center"/>
            <w:hideMark/>
          </w:tcPr>
          <w:p w14:paraId="79490916" w14:textId="77777777" w:rsidR="00235F98" w:rsidRPr="00235F98" w:rsidRDefault="00235F98" w:rsidP="00B64920">
            <w:pPr>
              <w:widowControl/>
              <w:autoSpaceDE/>
              <w:autoSpaceDN/>
              <w:adjustRightInd/>
              <w:jc w:val="center"/>
              <w:rPr>
                <w:rFonts w:cs="Times New Roman"/>
                <w:color w:val="000000"/>
                <w:sz w:val="19"/>
                <w:szCs w:val="19"/>
              </w:rPr>
            </w:pPr>
            <w:r w:rsidRPr="00235F98">
              <w:rPr>
                <w:rFonts w:cs="Times New Roman"/>
                <w:color w:val="000000"/>
                <w:sz w:val="19"/>
                <w:szCs w:val="19"/>
              </w:rPr>
              <w:t>26.0%</w:t>
            </w:r>
          </w:p>
        </w:tc>
      </w:tr>
    </w:tbl>
    <w:p w14:paraId="2E305E29" w14:textId="75535C55" w:rsidR="00251FDA" w:rsidRDefault="00251FDA" w:rsidP="00251FDA">
      <w:pPr>
        <w:rPr>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109925F0" w14:textId="77777777" w:rsidR="001A671E" w:rsidRDefault="001A671E" w:rsidP="00251FDA">
      <w:pPr>
        <w:rPr>
          <w:color w:val="000000"/>
          <w:sz w:val="18"/>
          <w:szCs w:val="18"/>
        </w:rPr>
      </w:pPr>
    </w:p>
    <w:p w14:paraId="5E510FE6" w14:textId="77777777" w:rsidR="001A671E" w:rsidRDefault="001A671E" w:rsidP="00251FDA">
      <w:pPr>
        <w:rPr>
          <w:color w:val="000000"/>
          <w:sz w:val="18"/>
          <w:szCs w:val="18"/>
        </w:rPr>
      </w:pPr>
    </w:p>
    <w:p w14:paraId="66DBCEBB" w14:textId="4B892979" w:rsidR="001A671E" w:rsidRPr="00C56D51" w:rsidRDefault="001A671E" w:rsidP="001A671E">
      <w:pPr>
        <w:rPr>
          <w:rFonts w:cs="Times New Roman"/>
          <w:szCs w:val="20"/>
        </w:rPr>
      </w:pPr>
      <w:r w:rsidRPr="003076D8">
        <w:rPr>
          <w:rFonts w:cs="Times New Roman"/>
          <w:szCs w:val="20"/>
        </w:rPr>
        <w:t>It is well documented that, historically, stocks of smaller companies have outperformed the market as a whole. For instance, stocks whose capitalization puts them in the lowest quintile of all stocks (as represented by the CRSP Decile 10) have had an annualized return of 1</w:t>
      </w:r>
      <w:r w:rsidR="00E807A6" w:rsidRPr="003076D8">
        <w:rPr>
          <w:rFonts w:cs="Times New Roman"/>
          <w:szCs w:val="20"/>
        </w:rPr>
        <w:t>2.</w:t>
      </w:r>
      <w:r w:rsidR="003076D8" w:rsidRPr="003076D8">
        <w:rPr>
          <w:rFonts w:cs="Times New Roman"/>
          <w:szCs w:val="20"/>
        </w:rPr>
        <w:t>85</w:t>
      </w:r>
      <w:r w:rsidRPr="003076D8">
        <w:rPr>
          <w:rFonts w:cs="Times New Roman"/>
          <w:szCs w:val="20"/>
        </w:rPr>
        <w:t xml:space="preserve"> percent over the 9</w:t>
      </w:r>
      <w:r w:rsidR="003076D8" w:rsidRPr="003076D8">
        <w:rPr>
          <w:rFonts w:cs="Times New Roman"/>
          <w:szCs w:val="20"/>
        </w:rPr>
        <w:t>3</w:t>
      </w:r>
      <w:r w:rsidRPr="003076D8">
        <w:rPr>
          <w:rFonts w:cs="Times New Roman"/>
          <w:szCs w:val="20"/>
        </w:rPr>
        <w:t xml:space="preserve"> years ending in 201</w:t>
      </w:r>
      <w:r w:rsidR="003076D8" w:rsidRPr="003076D8">
        <w:rPr>
          <w:rFonts w:cs="Times New Roman"/>
          <w:szCs w:val="20"/>
        </w:rPr>
        <w:t>9</w:t>
      </w:r>
      <w:r w:rsidRPr="003076D8">
        <w:rPr>
          <w:rFonts w:cs="Times New Roman"/>
          <w:szCs w:val="20"/>
        </w:rPr>
        <w:t xml:space="preserve">. It is well above the annualized return of </w:t>
      </w:r>
      <w:r w:rsidR="003076D8" w:rsidRPr="003076D8">
        <w:rPr>
          <w:rFonts w:cs="Times New Roman"/>
          <w:szCs w:val="20"/>
        </w:rPr>
        <w:t>10.2</w:t>
      </w:r>
      <w:r w:rsidRPr="003076D8">
        <w:rPr>
          <w:rFonts w:cs="Times New Roman"/>
          <w:szCs w:val="20"/>
        </w:rPr>
        <w:t xml:space="preserve"> percent for the S&amp;P 500 Index over the same period.</w:t>
      </w:r>
      <w:r w:rsidRPr="003076D8">
        <w:rPr>
          <w:rStyle w:val="FootnoteReference"/>
          <w:rFonts w:cs="Times New Roman"/>
          <w:szCs w:val="20"/>
        </w:rPr>
        <w:footnoteReference w:id="11"/>
      </w:r>
      <w:r w:rsidRPr="00C56D51">
        <w:rPr>
          <w:rFonts w:cs="Times New Roman"/>
          <w:szCs w:val="20"/>
        </w:rPr>
        <w:t xml:space="preserve"> </w:t>
      </w:r>
    </w:p>
    <w:p w14:paraId="1996D685" w14:textId="77777777" w:rsidR="001A671E" w:rsidRDefault="001A671E" w:rsidP="001A671E">
      <w:pPr>
        <w:rPr>
          <w:rFonts w:cs="Times New Roman"/>
          <w:szCs w:val="20"/>
        </w:rPr>
      </w:pPr>
    </w:p>
    <w:p w14:paraId="4AB06616" w14:textId="77777777" w:rsidR="001A671E" w:rsidRPr="00AC2FE5" w:rsidRDefault="001A671E" w:rsidP="001A671E">
      <w:pPr>
        <w:rPr>
          <w:rFonts w:cs="Times New Roman"/>
          <w:szCs w:val="20"/>
        </w:rPr>
      </w:pPr>
      <w:r>
        <w:rPr>
          <w:rFonts w:cs="Times New Roman"/>
          <w:szCs w:val="20"/>
        </w:rPr>
        <w:lastRenderedPageBreak/>
        <w:t>Occasionally, during what is called the “mid cycle” of economic expansions, stocks which fall in the middle segments of market capitalization, typically referred to as mid-cap stocks, offer predictable positive performance. During these times, we may include mid-cap stocks in your portfolio, typically through the use of an exchange-traded fund.</w:t>
      </w:r>
    </w:p>
    <w:p w14:paraId="6C49358D" w14:textId="77777777" w:rsidR="009172AD" w:rsidRPr="00AC2FE5" w:rsidRDefault="009172AD" w:rsidP="009172AD">
      <w:pPr>
        <w:pStyle w:val="Heading3"/>
      </w:pPr>
      <w:r w:rsidRPr="00AC2FE5">
        <w:t xml:space="preserve">Growth vs. Value </w:t>
      </w:r>
    </w:p>
    <w:p w14:paraId="4F986113" w14:textId="77777777" w:rsidR="009172AD" w:rsidRPr="00AC2FE5" w:rsidRDefault="009172AD">
      <w:pPr>
        <w:rPr>
          <w:rFonts w:cs="Times New Roman"/>
          <w:szCs w:val="20"/>
        </w:rPr>
      </w:pPr>
    </w:p>
    <w:p w14:paraId="23D103AD" w14:textId="77777777" w:rsidR="009172AD" w:rsidRPr="00AC2FE5" w:rsidRDefault="009172AD">
      <w:pPr>
        <w:rPr>
          <w:rFonts w:cs="Times New Roman"/>
          <w:szCs w:val="20"/>
        </w:rPr>
      </w:pPr>
      <w:r w:rsidRPr="00AC2FE5">
        <w:rPr>
          <w:rFonts w:cs="Times New Roman"/>
          <w:szCs w:val="20"/>
        </w:rPr>
        <w:t xml:space="preserve">Another important issue to consider when allocating equities in a portfolio is the distinction between growth stocks and value stocks. Growth stocks are generally regarded as those that are expected to grow at an above-average rate when compared to the market as a whole. In contrast, value stocks are generally considered by many to be the </w:t>
      </w:r>
      <w:r w:rsidR="00232C8D">
        <w:rPr>
          <w:rFonts w:cs="Times New Roman"/>
          <w:szCs w:val="20"/>
        </w:rPr>
        <w:t>“</w:t>
      </w:r>
      <w:r w:rsidRPr="00AC2FE5">
        <w:rPr>
          <w:rFonts w:cs="Times New Roman"/>
          <w:szCs w:val="20"/>
        </w:rPr>
        <w:t>bargains</w:t>
      </w:r>
      <w:r w:rsidR="00232C8D">
        <w:rPr>
          <w:rFonts w:cs="Times New Roman"/>
          <w:szCs w:val="20"/>
        </w:rPr>
        <w:t>”</w:t>
      </w:r>
      <w:r w:rsidRPr="00AC2FE5">
        <w:rPr>
          <w:rFonts w:cs="Times New Roman"/>
          <w:szCs w:val="20"/>
        </w:rPr>
        <w:t xml:space="preserve"> of the market because they tend to trade at lower prices relative to their fundamentals, such as dividends and earnings. </w:t>
      </w:r>
    </w:p>
    <w:p w14:paraId="2486BB4C" w14:textId="77777777" w:rsidR="009172AD" w:rsidRPr="00AC2FE5" w:rsidRDefault="009172AD">
      <w:pPr>
        <w:rPr>
          <w:rFonts w:cs="Times New Roman"/>
          <w:szCs w:val="20"/>
        </w:rPr>
      </w:pPr>
    </w:p>
    <w:p w14:paraId="5FCC15F8" w14:textId="77777777" w:rsidR="009172AD" w:rsidRPr="00525B3A" w:rsidRDefault="009172AD">
      <w:pPr>
        <w:rPr>
          <w:rFonts w:cs="Times New Roman"/>
          <w:szCs w:val="20"/>
        </w:rPr>
      </w:pPr>
      <w:r w:rsidRPr="00762303">
        <w:rPr>
          <w:rFonts w:cs="Times New Roman"/>
          <w:szCs w:val="20"/>
        </w:rPr>
        <w:t>Because the two styles are so different, it</w:t>
      </w:r>
      <w:r w:rsidR="00232C8D" w:rsidRPr="00762303">
        <w:rPr>
          <w:rFonts w:cs="Times New Roman"/>
          <w:szCs w:val="20"/>
        </w:rPr>
        <w:t>’</w:t>
      </w:r>
      <w:r w:rsidRPr="00762303">
        <w:rPr>
          <w:rFonts w:cs="Times New Roman"/>
          <w:szCs w:val="20"/>
        </w:rPr>
        <w:t>s unusual that they both work well at the same time. The following chart shows the importance of diversifying between both growth and value stocks.</w:t>
      </w:r>
      <w:r w:rsidRPr="00762303">
        <w:rPr>
          <w:rStyle w:val="FootnoteReference"/>
          <w:rFonts w:cs="Times New Roman"/>
          <w:szCs w:val="20"/>
        </w:rPr>
        <w:footnoteReference w:id="12"/>
      </w:r>
      <w:r w:rsidRPr="00762303">
        <w:rPr>
          <w:rFonts w:cs="Times New Roman"/>
          <w:szCs w:val="20"/>
        </w:rPr>
        <w:t xml:space="preserve"> Investment returns in value stocks have outperformed growth</w:t>
      </w:r>
      <w:r w:rsidR="00203B93" w:rsidRPr="00762303">
        <w:rPr>
          <w:rFonts w:cs="Times New Roman"/>
          <w:szCs w:val="20"/>
        </w:rPr>
        <w:t xml:space="preserve"> stocks at irregular intervals, </w:t>
      </w:r>
      <w:r w:rsidRPr="00762303">
        <w:rPr>
          <w:rFonts w:cs="Times New Roman"/>
          <w:szCs w:val="20"/>
        </w:rPr>
        <w:t>which emphasizes the importance of maintaining a style-diversified portfolio.</w:t>
      </w:r>
    </w:p>
    <w:p w14:paraId="3373B03F" w14:textId="77777777" w:rsidR="003A7DDA" w:rsidRPr="00525B3A" w:rsidRDefault="003A7DDA">
      <w:pPr>
        <w:rPr>
          <w:rFonts w:cs="Times New Roman"/>
          <w:szCs w:val="20"/>
        </w:rPr>
      </w:pPr>
    </w:p>
    <w:p w14:paraId="783D42F7" w14:textId="77777777" w:rsidR="009172AD" w:rsidRPr="00525B3A" w:rsidRDefault="009172AD" w:rsidP="003F5F51">
      <w:pPr>
        <w:pBdr>
          <w:top w:val="single" w:sz="6" w:space="1" w:color="auto"/>
          <w:left w:val="single" w:sz="6" w:space="4" w:color="auto"/>
          <w:bottom w:val="single" w:sz="6" w:space="1" w:color="auto"/>
          <w:right w:val="single" w:sz="6" w:space="4" w:color="auto"/>
        </w:pBdr>
        <w:jc w:val="center"/>
        <w:rPr>
          <w:rFonts w:ascii="Times" w:hAnsi="Times" w:cs="Times"/>
          <w:b/>
          <w:bCs/>
          <w:szCs w:val="20"/>
        </w:rPr>
      </w:pPr>
      <w:r w:rsidRPr="00525B3A">
        <w:rPr>
          <w:rFonts w:ascii="Times" w:hAnsi="Times" w:cs="Times"/>
          <w:b/>
          <w:bCs/>
          <w:szCs w:val="20"/>
        </w:rPr>
        <w:t>U.S. Growth and Value Styles Performed Differently</w:t>
      </w:r>
    </w:p>
    <w:p w14:paraId="613EF504" w14:textId="1981313A" w:rsidR="009172AD" w:rsidRDefault="005B4F4B" w:rsidP="003F5F51">
      <w:pPr>
        <w:pBdr>
          <w:top w:val="single" w:sz="6" w:space="1" w:color="auto"/>
          <w:left w:val="single" w:sz="6" w:space="4" w:color="auto"/>
          <w:bottom w:val="single" w:sz="6" w:space="1" w:color="auto"/>
          <w:right w:val="single" w:sz="6" w:space="4" w:color="auto"/>
        </w:pBdr>
        <w:jc w:val="center"/>
        <w:rPr>
          <w:rFonts w:ascii="Times" w:hAnsi="Times" w:cs="Times"/>
          <w:b/>
          <w:bCs/>
          <w:sz w:val="18"/>
          <w:szCs w:val="18"/>
        </w:rPr>
      </w:pPr>
      <w:r>
        <w:rPr>
          <w:rFonts w:ascii="Times" w:hAnsi="Times" w:cs="Times"/>
          <w:b/>
          <w:bCs/>
          <w:sz w:val="18"/>
          <w:szCs w:val="18"/>
        </w:rPr>
        <w:t>January</w:t>
      </w:r>
      <w:r w:rsidR="00BD286A" w:rsidRPr="00525B3A">
        <w:rPr>
          <w:rFonts w:ascii="Times" w:hAnsi="Times" w:cs="Times"/>
          <w:b/>
          <w:bCs/>
          <w:sz w:val="18"/>
          <w:szCs w:val="18"/>
        </w:rPr>
        <w:t xml:space="preserve"> 197</w:t>
      </w:r>
      <w:r w:rsidR="0033684C" w:rsidRPr="00525B3A">
        <w:rPr>
          <w:rFonts w:ascii="Times" w:hAnsi="Times" w:cs="Times"/>
          <w:b/>
          <w:bCs/>
          <w:sz w:val="18"/>
          <w:szCs w:val="18"/>
        </w:rPr>
        <w:t>0</w:t>
      </w:r>
      <w:r w:rsidR="009172AD" w:rsidRPr="00525B3A">
        <w:rPr>
          <w:rFonts w:ascii="Times" w:hAnsi="Times" w:cs="Times"/>
          <w:b/>
          <w:bCs/>
          <w:sz w:val="18"/>
          <w:szCs w:val="18"/>
        </w:rPr>
        <w:t>–Decembe</w:t>
      </w:r>
      <w:r w:rsidR="00D10FA0" w:rsidRPr="00525B3A">
        <w:rPr>
          <w:rFonts w:ascii="Times" w:hAnsi="Times" w:cs="Times"/>
          <w:b/>
          <w:bCs/>
          <w:sz w:val="18"/>
          <w:szCs w:val="18"/>
        </w:rPr>
        <w:t>r 201</w:t>
      </w:r>
      <w:r w:rsidR="00762303">
        <w:rPr>
          <w:rFonts w:ascii="Times" w:hAnsi="Times" w:cs="Times"/>
          <w:b/>
          <w:bCs/>
          <w:sz w:val="18"/>
          <w:szCs w:val="18"/>
        </w:rPr>
        <w:t>9</w:t>
      </w:r>
    </w:p>
    <w:p w14:paraId="474A7AE3" w14:textId="77777777" w:rsidR="00593FC1" w:rsidRPr="00525B3A" w:rsidRDefault="00593FC1" w:rsidP="003F5F51">
      <w:pPr>
        <w:pBdr>
          <w:top w:val="single" w:sz="6" w:space="1" w:color="auto"/>
          <w:left w:val="single" w:sz="6" w:space="4" w:color="auto"/>
          <w:bottom w:val="single" w:sz="6" w:space="1" w:color="auto"/>
          <w:right w:val="single" w:sz="6" w:space="4" w:color="auto"/>
        </w:pBdr>
        <w:jc w:val="center"/>
        <w:rPr>
          <w:rFonts w:ascii="Times" w:hAnsi="Times" w:cs="Times"/>
          <w:b/>
          <w:bCs/>
          <w:sz w:val="18"/>
          <w:szCs w:val="18"/>
        </w:rPr>
      </w:pPr>
      <w:r>
        <w:rPr>
          <w:rFonts w:ascii="Times" w:hAnsi="Times" w:cs="Times"/>
          <w:b/>
          <w:bCs/>
          <w:sz w:val="18"/>
          <w:szCs w:val="18"/>
        </w:rPr>
        <w:t>Rolling 12-Month Returns</w:t>
      </w:r>
    </w:p>
    <w:p w14:paraId="0F59278A" w14:textId="77777777" w:rsidR="009172AD" w:rsidRPr="00EE169F" w:rsidRDefault="009172AD" w:rsidP="00D54FE2">
      <w:pPr>
        <w:rPr>
          <w:noProof/>
          <w:sz w:val="8"/>
          <w:szCs w:val="8"/>
        </w:rPr>
      </w:pPr>
    </w:p>
    <w:p w14:paraId="6A4EA123" w14:textId="779D4DCF" w:rsidR="002217AA" w:rsidRDefault="00762303" w:rsidP="00251FDA">
      <w:pPr>
        <w:rPr>
          <w:color w:val="000000"/>
          <w:sz w:val="18"/>
          <w:szCs w:val="18"/>
        </w:rPr>
      </w:pPr>
      <w:r w:rsidRPr="00574506">
        <w:rPr>
          <w:noProof/>
        </w:rPr>
        <w:pict w14:anchorId="07E18439">
          <v:shape id="_x0000_i1070" type="#_x0000_t75" style="width:469.2pt;height:268.2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">
            <v:imagedata r:id="rId15" o:title=""/>
            <o:lock v:ext="edit" aspectratio="f"/>
          </v:shape>
        </w:pict>
      </w:r>
    </w:p>
    <w:p w14:paraId="6588AAE8" w14:textId="77777777" w:rsidR="00251FDA" w:rsidRPr="004E6969" w:rsidRDefault="00251FDA" w:rsidP="00251FDA">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47117566" w14:textId="77777777" w:rsidR="00263E25" w:rsidRDefault="00263E25" w:rsidP="00263E25"/>
    <w:p w14:paraId="03D1B236" w14:textId="77777777" w:rsidR="009172AD" w:rsidRPr="00AC2FE5" w:rsidRDefault="009172AD" w:rsidP="009172AD">
      <w:pPr>
        <w:pStyle w:val="Heading3"/>
        <w:ind w:left="0" w:firstLine="450"/>
      </w:pPr>
      <w:r w:rsidRPr="00AC2FE5">
        <w:t>International Equity Investments</w:t>
      </w:r>
    </w:p>
    <w:p w14:paraId="1EAE612A" w14:textId="77777777" w:rsidR="009172AD" w:rsidRPr="00AC2FE5" w:rsidRDefault="009172AD">
      <w:pPr>
        <w:rPr>
          <w:rFonts w:cs="Times New Roman"/>
          <w:szCs w:val="20"/>
        </w:rPr>
      </w:pPr>
    </w:p>
    <w:p w14:paraId="22D24DCB" w14:textId="77777777" w:rsidR="009172AD" w:rsidRDefault="009172AD">
      <w:pPr>
        <w:rPr>
          <w:rFonts w:cs="Times New Roman"/>
          <w:szCs w:val="20"/>
        </w:rPr>
      </w:pPr>
      <w:r w:rsidRPr="00AC2FE5">
        <w:rPr>
          <w:rFonts w:cs="Times New Roman"/>
          <w:szCs w:val="20"/>
        </w:rPr>
        <w:t xml:space="preserve">The international and U.S. markets also </w:t>
      </w:r>
      <w:r w:rsidR="003A7DDA">
        <w:rPr>
          <w:rFonts w:cs="Times New Roman"/>
          <w:szCs w:val="20"/>
        </w:rPr>
        <w:t xml:space="preserve">historically </w:t>
      </w:r>
      <w:r w:rsidRPr="00AC2FE5">
        <w:rPr>
          <w:rFonts w:cs="Times New Roman"/>
          <w:szCs w:val="20"/>
        </w:rPr>
        <w:t>have low correlation.</w:t>
      </w:r>
      <w:r w:rsidR="005A72F9">
        <w:rPr>
          <w:rFonts w:cs="Times New Roman"/>
          <w:szCs w:val="20"/>
        </w:rPr>
        <w:t xml:space="preserve"> </w:t>
      </w:r>
      <w:r w:rsidRPr="00AC2FE5">
        <w:rPr>
          <w:rFonts w:cs="Times New Roman"/>
          <w:szCs w:val="20"/>
        </w:rPr>
        <w:t xml:space="preserve">In addition to taking advantage of the high returns attainable in the U.S. equity markets, your portfolio will invest in overseas equity markets. The primary </w:t>
      </w:r>
      <w:r w:rsidRPr="00AC2FE5">
        <w:rPr>
          <w:rFonts w:cs="Times New Roman"/>
          <w:szCs w:val="20"/>
        </w:rPr>
        <w:lastRenderedPageBreak/>
        <w:t>reason for this is increased diversification, which is meant to lower risk. Thus, by diversifying internationally, you can lower the volatility of your portfolio while still enjoying the superior returns of the equity markets.</w:t>
      </w:r>
    </w:p>
    <w:p w14:paraId="708CEF21" w14:textId="77777777" w:rsidR="00562534" w:rsidRPr="00AC2FE5" w:rsidRDefault="00562534">
      <w:pPr>
        <w:rPr>
          <w:rFonts w:cs="Times New Roman"/>
          <w:szCs w:val="20"/>
        </w:rPr>
      </w:pPr>
    </w:p>
    <w:p w14:paraId="69BEC749" w14:textId="77777777" w:rsidR="009172AD" w:rsidRDefault="009172AD">
      <w:pPr>
        <w:rPr>
          <w:rFonts w:cs="Times New Roman"/>
          <w:szCs w:val="20"/>
        </w:rPr>
      </w:pPr>
      <w:r w:rsidRPr="00762303">
        <w:rPr>
          <w:rFonts w:cs="Times New Roman"/>
          <w:szCs w:val="20"/>
        </w:rPr>
        <w:t>The chart below shows the importance of global diversification.</w:t>
      </w:r>
      <w:r w:rsidRPr="00762303">
        <w:rPr>
          <w:rStyle w:val="FootnoteReference"/>
          <w:rFonts w:cs="Times New Roman"/>
          <w:szCs w:val="20"/>
        </w:rPr>
        <w:footnoteReference w:id="13"/>
      </w:r>
      <w:r w:rsidRPr="00762303">
        <w:rPr>
          <w:rFonts w:cs="Times New Roman"/>
          <w:szCs w:val="20"/>
        </w:rPr>
        <w:t xml:space="preserve"> Investment returns in foreign markets have outperformed domestic-market returns at irregular intervals, which emphasizes the importance of maintaining a globally diversified portfolio.</w:t>
      </w:r>
    </w:p>
    <w:p w14:paraId="56F036ED" w14:textId="77777777" w:rsidR="007F1417" w:rsidRPr="00AC2FE5" w:rsidRDefault="007F1417">
      <w:pPr>
        <w:rPr>
          <w:rFonts w:cs="Times New Roman"/>
          <w:szCs w:val="20"/>
        </w:rPr>
      </w:pPr>
    </w:p>
    <w:p w14:paraId="58780228" w14:textId="77777777" w:rsidR="009172AD" w:rsidRPr="001E4AA8" w:rsidRDefault="009172AD" w:rsidP="003F5F51">
      <w:pPr>
        <w:pBdr>
          <w:top w:val="single" w:sz="6" w:space="1" w:color="auto"/>
          <w:left w:val="single" w:sz="6" w:space="4" w:color="auto"/>
          <w:bottom w:val="single" w:sz="6" w:space="1" w:color="auto"/>
          <w:right w:val="single" w:sz="6" w:space="4" w:color="auto"/>
        </w:pBdr>
        <w:jc w:val="center"/>
        <w:rPr>
          <w:rFonts w:cs="Times New Roman"/>
          <w:b/>
          <w:bCs/>
          <w:szCs w:val="20"/>
        </w:rPr>
      </w:pPr>
      <w:r w:rsidRPr="001E4AA8">
        <w:rPr>
          <w:rFonts w:cs="Times New Roman"/>
          <w:b/>
          <w:bCs/>
          <w:szCs w:val="20"/>
        </w:rPr>
        <w:t>U.S. and Foreign Markets Perform Differently</w:t>
      </w:r>
    </w:p>
    <w:p w14:paraId="0EF78D21" w14:textId="1F1D48C1" w:rsidR="009172AD" w:rsidRDefault="000F7558" w:rsidP="003F5F51">
      <w:pPr>
        <w:pBdr>
          <w:top w:val="single" w:sz="6" w:space="1" w:color="auto"/>
          <w:left w:val="single" w:sz="6" w:space="4" w:color="auto"/>
          <w:bottom w:val="single" w:sz="6" w:space="1" w:color="auto"/>
          <w:right w:val="single" w:sz="6" w:space="4" w:color="auto"/>
        </w:pBdr>
        <w:jc w:val="center"/>
        <w:rPr>
          <w:rFonts w:cs="Times New Roman"/>
          <w:b/>
          <w:bCs/>
          <w:sz w:val="18"/>
          <w:szCs w:val="18"/>
        </w:rPr>
      </w:pPr>
      <w:r>
        <w:rPr>
          <w:rFonts w:cs="Times New Roman"/>
          <w:b/>
          <w:bCs/>
          <w:sz w:val="18"/>
          <w:szCs w:val="18"/>
        </w:rPr>
        <w:t>January</w:t>
      </w:r>
      <w:r w:rsidR="008F6755" w:rsidRPr="001E4AA8">
        <w:rPr>
          <w:rFonts w:cs="Times New Roman"/>
          <w:b/>
          <w:bCs/>
          <w:sz w:val="18"/>
          <w:szCs w:val="18"/>
        </w:rPr>
        <w:t xml:space="preserve"> 1970</w:t>
      </w:r>
      <w:r w:rsidR="009172AD" w:rsidRPr="001E4AA8">
        <w:rPr>
          <w:rFonts w:cs="Times New Roman"/>
          <w:b/>
          <w:bCs/>
          <w:sz w:val="18"/>
          <w:szCs w:val="18"/>
        </w:rPr>
        <w:t>–</w:t>
      </w:r>
      <w:r w:rsidR="00D10FA0" w:rsidRPr="001E4AA8">
        <w:rPr>
          <w:rFonts w:cs="Times New Roman"/>
          <w:b/>
          <w:bCs/>
          <w:sz w:val="18"/>
          <w:szCs w:val="18"/>
        </w:rPr>
        <w:t>December 201</w:t>
      </w:r>
      <w:r w:rsidR="00762303">
        <w:rPr>
          <w:rFonts w:cs="Times New Roman"/>
          <w:b/>
          <w:bCs/>
          <w:sz w:val="18"/>
          <w:szCs w:val="18"/>
        </w:rPr>
        <w:t>9</w:t>
      </w:r>
    </w:p>
    <w:p w14:paraId="49EDE13C" w14:textId="77777777" w:rsidR="005C3D2E" w:rsidRPr="001E4AA8" w:rsidRDefault="005C3D2E" w:rsidP="003F5F51">
      <w:pPr>
        <w:pBdr>
          <w:top w:val="single" w:sz="6" w:space="1" w:color="auto"/>
          <w:left w:val="single" w:sz="6" w:space="4" w:color="auto"/>
          <w:bottom w:val="single" w:sz="6" w:space="1" w:color="auto"/>
          <w:right w:val="single" w:sz="6" w:space="4" w:color="auto"/>
        </w:pBdr>
        <w:jc w:val="center"/>
        <w:rPr>
          <w:rFonts w:cs="Times New Roman"/>
          <w:b/>
          <w:bCs/>
          <w:sz w:val="18"/>
          <w:szCs w:val="18"/>
        </w:rPr>
      </w:pPr>
      <w:r>
        <w:rPr>
          <w:rFonts w:cs="Times New Roman"/>
          <w:b/>
          <w:bCs/>
          <w:sz w:val="18"/>
          <w:szCs w:val="18"/>
        </w:rPr>
        <w:t>Rolling 12-Month Returns</w:t>
      </w:r>
    </w:p>
    <w:p w14:paraId="45E6A81E" w14:textId="77777777" w:rsidR="009172AD" w:rsidRPr="00EE169F" w:rsidRDefault="009172AD" w:rsidP="009172AD">
      <w:pPr>
        <w:ind w:left="-540"/>
        <w:jc w:val="center"/>
        <w:rPr>
          <w:rFonts w:cs="Times New Roman"/>
          <w:sz w:val="8"/>
          <w:szCs w:val="8"/>
        </w:rPr>
      </w:pPr>
    </w:p>
    <w:p w14:paraId="3CCC6143" w14:textId="4BF939BA" w:rsidR="0016273D" w:rsidRDefault="00762303" w:rsidP="00435DF1">
      <w:pPr>
        <w:tabs>
          <w:tab w:val="left" w:pos="-630"/>
        </w:tabs>
        <w:ind w:left="-72"/>
        <w:jc w:val="center"/>
        <w:rPr>
          <w:rFonts w:cs="Times New Roman"/>
          <w:szCs w:val="20"/>
        </w:rPr>
      </w:pPr>
      <w:r w:rsidRPr="00574506">
        <w:rPr>
          <w:noProof/>
        </w:rPr>
        <w:pict w14:anchorId="1A07A9D3">
          <v:shape id="_x0000_i1073" type="#_x0000_t75" style="width:469.2pt;height:277.2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">
            <v:imagedata r:id="rId16" o:title=""/>
            <o:lock v:ext="edit" aspectratio="f"/>
          </v:shape>
        </w:pict>
      </w:r>
    </w:p>
    <w:p w14:paraId="07BC236E" w14:textId="77777777" w:rsidR="00251FDA" w:rsidRPr="004E6969" w:rsidRDefault="00251FDA" w:rsidP="00251FDA">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57A7EF80" w14:textId="77777777" w:rsidR="009172AD" w:rsidRDefault="009172AD">
      <w:pPr>
        <w:rPr>
          <w:rFonts w:cs="Times New Roman"/>
          <w:szCs w:val="20"/>
        </w:rPr>
      </w:pPr>
    </w:p>
    <w:p w14:paraId="5AA13795" w14:textId="77777777" w:rsidR="009172AD" w:rsidRPr="00AC2FE5" w:rsidRDefault="009172AD">
      <w:pPr>
        <w:rPr>
          <w:rFonts w:cs="Times New Roman"/>
          <w:szCs w:val="20"/>
        </w:rPr>
      </w:pPr>
      <w:r w:rsidRPr="00AC2FE5">
        <w:rPr>
          <w:rFonts w:cs="Times New Roman"/>
          <w:szCs w:val="20"/>
        </w:rPr>
        <w:t>When two investments have similar long-term returns, and yet have dissimilar patterns in their short-term outcomes, you can then preserve your portfolio</w:t>
      </w:r>
      <w:r w:rsidR="00232C8D">
        <w:rPr>
          <w:rFonts w:cs="Times New Roman"/>
          <w:szCs w:val="20"/>
        </w:rPr>
        <w:t>’</w:t>
      </w:r>
      <w:r w:rsidRPr="00AC2FE5">
        <w:rPr>
          <w:rFonts w:cs="Times New Roman"/>
          <w:szCs w:val="20"/>
        </w:rPr>
        <w:t xml:space="preserve">s growth potential and reduce risk at the same time by investing in both. </w:t>
      </w:r>
    </w:p>
    <w:p w14:paraId="75DE2452" w14:textId="77777777" w:rsidR="009172AD" w:rsidRPr="00AC2FE5" w:rsidRDefault="009172AD">
      <w:pPr>
        <w:rPr>
          <w:rFonts w:cs="Times New Roman"/>
          <w:szCs w:val="20"/>
        </w:rPr>
      </w:pPr>
    </w:p>
    <w:p w14:paraId="66244BC8" w14:textId="77777777" w:rsidR="009172AD" w:rsidRPr="00AC2FE5" w:rsidRDefault="009172AD">
      <w:pPr>
        <w:rPr>
          <w:rFonts w:cs="Times New Roman"/>
          <w:szCs w:val="20"/>
        </w:rPr>
      </w:pPr>
      <w:r w:rsidRPr="00AC2FE5">
        <w:rPr>
          <w:rFonts w:cs="Times New Roman"/>
          <w:szCs w:val="20"/>
        </w:rPr>
        <w:t>A segment of your portfolio will be invested in asset class funds comprised of stocks of small companies outside of the U.S. The small-firm effect has been identified in foreign equity markets as well as in the United States.</w:t>
      </w:r>
      <w:r w:rsidR="005A72F9">
        <w:rPr>
          <w:rFonts w:cs="Times New Roman"/>
          <w:szCs w:val="20"/>
        </w:rPr>
        <w:t xml:space="preserve"> </w:t>
      </w:r>
      <w:r w:rsidRPr="00AC2FE5">
        <w:rPr>
          <w:rFonts w:cs="Times New Roman"/>
          <w:szCs w:val="20"/>
        </w:rPr>
        <w:t>In fact, available evidence implies that the effect is even stronger in the major foreign markets (i.e., higher return and lower risk).</w:t>
      </w:r>
      <w:r w:rsidRPr="00AC2FE5">
        <w:rPr>
          <w:rStyle w:val="FootnoteReference"/>
          <w:rFonts w:cs="Times New Roman"/>
          <w:szCs w:val="20"/>
        </w:rPr>
        <w:footnoteReference w:id="14"/>
      </w:r>
    </w:p>
    <w:p w14:paraId="197C2A60" w14:textId="77777777" w:rsidR="009172AD" w:rsidRPr="00AC2FE5" w:rsidRDefault="009172AD">
      <w:pPr>
        <w:rPr>
          <w:rFonts w:cs="Times New Roman"/>
          <w:szCs w:val="20"/>
        </w:rPr>
      </w:pPr>
    </w:p>
    <w:p w14:paraId="4B725BDF" w14:textId="77777777" w:rsidR="009172AD" w:rsidRDefault="009172AD">
      <w:pPr>
        <w:rPr>
          <w:rFonts w:cs="Times New Roman"/>
          <w:szCs w:val="20"/>
        </w:rPr>
      </w:pPr>
      <w:r w:rsidRPr="00AC2FE5">
        <w:rPr>
          <w:rFonts w:cs="Times New Roman"/>
          <w:szCs w:val="20"/>
        </w:rPr>
        <w:t>The important thing to realize is that mixing domestic and foreign stocks is a powerfully advantageous investment strategy. While investors all over the world tend to emphasize investments in their own home markets, if you do not invest in overseas equities at all, you miss two important benefits. First, overseas investments allow you to participate in the growth of the whole global economy. Second, international equities are a powerful diversifier, allowing you to reduce risk without sacrificing the growth potential of equity investments.</w:t>
      </w:r>
      <w:r w:rsidR="003A7DDA">
        <w:rPr>
          <w:rFonts w:cs="Times New Roman"/>
          <w:szCs w:val="20"/>
        </w:rPr>
        <w:t xml:space="preserve"> </w:t>
      </w:r>
      <w:r w:rsidRPr="00AC2FE5">
        <w:rPr>
          <w:rFonts w:cs="Times New Roman"/>
          <w:szCs w:val="20"/>
        </w:rPr>
        <w:t xml:space="preserve">By investing in small stocks and value stocks overseas, your portfolio will gain even greater diversification from the domestic equities you hold. </w:t>
      </w:r>
    </w:p>
    <w:p w14:paraId="7D3B6049" w14:textId="77777777" w:rsidR="009172AD" w:rsidRPr="00AC2FE5" w:rsidRDefault="009172AD" w:rsidP="009172AD">
      <w:pPr>
        <w:pStyle w:val="Heading3"/>
      </w:pPr>
      <w:r w:rsidRPr="00AC2FE5">
        <w:lastRenderedPageBreak/>
        <w:t>Emerging Market Equity Investments</w:t>
      </w:r>
    </w:p>
    <w:p w14:paraId="69E9CE66" w14:textId="77777777" w:rsidR="009172AD" w:rsidRPr="00AC2FE5" w:rsidRDefault="009172AD">
      <w:pPr>
        <w:rPr>
          <w:rFonts w:cs="Times New Roman"/>
          <w:szCs w:val="20"/>
        </w:rPr>
      </w:pPr>
    </w:p>
    <w:p w14:paraId="499FFEE3" w14:textId="77777777" w:rsidR="009172AD" w:rsidRPr="00AC2FE5" w:rsidRDefault="009172AD">
      <w:pPr>
        <w:rPr>
          <w:rFonts w:cs="Times New Roman"/>
          <w:szCs w:val="20"/>
        </w:rPr>
      </w:pPr>
      <w:r w:rsidRPr="00AC2FE5">
        <w:rPr>
          <w:rFonts w:cs="Times New Roman"/>
          <w:szCs w:val="20"/>
        </w:rPr>
        <w:t>Most global portfolios include a small portion in emerging markets. In today</w:t>
      </w:r>
      <w:r w:rsidR="00232C8D">
        <w:rPr>
          <w:rFonts w:cs="Times New Roman"/>
          <w:szCs w:val="20"/>
        </w:rPr>
        <w:t>’</w:t>
      </w:r>
      <w:r w:rsidRPr="00AC2FE5">
        <w:rPr>
          <w:rFonts w:cs="Times New Roman"/>
          <w:szCs w:val="20"/>
        </w:rPr>
        <w:t xml:space="preserve">s world of equity investing, we are seeing a great deal of growth in emerging markets. The growth rates in these markets have been significantly greater at times than the rate of growth found in established markets. Research indicates that a very small position in emerging markets can increase the return of the portfolio without increasing overall portfolio volatility. In fact, because of the low correlation between the emerging-market asset class and the other asset classes, the </w:t>
      </w:r>
      <w:r w:rsidR="00FC6B9E">
        <w:rPr>
          <w:rFonts w:cs="Times New Roman"/>
          <w:szCs w:val="20"/>
        </w:rPr>
        <w:t>allocation may even reduce overall p</w:t>
      </w:r>
      <w:r w:rsidRPr="00AC2FE5">
        <w:rPr>
          <w:rFonts w:cs="Times New Roman"/>
          <w:szCs w:val="20"/>
        </w:rPr>
        <w:t>or</w:t>
      </w:r>
      <w:r w:rsidR="00FC6B9E">
        <w:rPr>
          <w:rFonts w:cs="Times New Roman"/>
          <w:szCs w:val="20"/>
        </w:rPr>
        <w:t>tfolio volatility</w:t>
      </w:r>
      <w:r w:rsidRPr="00AC2FE5">
        <w:rPr>
          <w:rFonts w:cs="Times New Roman"/>
          <w:szCs w:val="20"/>
        </w:rPr>
        <w:t>.</w:t>
      </w:r>
    </w:p>
    <w:p w14:paraId="1A023085" w14:textId="77777777" w:rsidR="009172AD" w:rsidRPr="00AC2FE5" w:rsidRDefault="009172AD">
      <w:pPr>
        <w:rPr>
          <w:rFonts w:cs="Times New Roman"/>
          <w:szCs w:val="20"/>
        </w:rPr>
      </w:pPr>
    </w:p>
    <w:p w14:paraId="610C20ED" w14:textId="77777777" w:rsidR="009172AD" w:rsidRDefault="009172AD">
      <w:pPr>
        <w:rPr>
          <w:rFonts w:cs="Times New Roman"/>
          <w:szCs w:val="20"/>
        </w:rPr>
      </w:pPr>
      <w:r w:rsidRPr="00AC2FE5">
        <w:rPr>
          <w:rFonts w:cs="Times New Roman"/>
          <w:szCs w:val="20"/>
        </w:rPr>
        <w:t>In order to minimize the risk of investing in the inherently riskier realm of emerging markets, we choose funds that have established stringent selection criteria in choosing appropriate countries to include in this asset class.</w:t>
      </w:r>
    </w:p>
    <w:p w14:paraId="2958104C" w14:textId="77777777" w:rsidR="00263E25" w:rsidRPr="00AC2FE5" w:rsidRDefault="00263E25">
      <w:pPr>
        <w:rPr>
          <w:rFonts w:cs="Times New Roman"/>
          <w:szCs w:val="20"/>
        </w:rPr>
      </w:pPr>
    </w:p>
    <w:p w14:paraId="3275F22D" w14:textId="77777777" w:rsidR="009172AD" w:rsidRPr="00AC2FE5" w:rsidRDefault="009172AD" w:rsidP="009172AD">
      <w:pPr>
        <w:pStyle w:val="Heading3"/>
      </w:pPr>
      <w:r w:rsidRPr="00AC2FE5">
        <w:t>Criteria for Country Selection</w:t>
      </w:r>
    </w:p>
    <w:p w14:paraId="71D87585" w14:textId="77777777" w:rsidR="009172AD" w:rsidRPr="00AC2FE5" w:rsidRDefault="009172AD">
      <w:pPr>
        <w:rPr>
          <w:rFonts w:cs="Times New Roman"/>
          <w:szCs w:val="20"/>
        </w:rPr>
      </w:pPr>
    </w:p>
    <w:p w14:paraId="182172F8" w14:textId="77777777" w:rsidR="009172AD" w:rsidRPr="00AC2FE5" w:rsidRDefault="009172AD">
      <w:pPr>
        <w:rPr>
          <w:rFonts w:cs="Times New Roman"/>
          <w:szCs w:val="20"/>
        </w:rPr>
      </w:pPr>
      <w:r w:rsidRPr="00AC2FE5">
        <w:rPr>
          <w:rFonts w:cs="Times New Roman"/>
          <w:szCs w:val="20"/>
        </w:rPr>
        <w:t>In order to be considered for inclusion in the emerging-market asset class, a country must have the following:</w:t>
      </w:r>
    </w:p>
    <w:p w14:paraId="56444D1D" w14:textId="77777777" w:rsidR="009172AD" w:rsidRPr="00AC2FE5" w:rsidRDefault="009172AD">
      <w:pPr>
        <w:rPr>
          <w:rFonts w:cs="Times New Roman"/>
          <w:szCs w:val="20"/>
        </w:rPr>
      </w:pPr>
    </w:p>
    <w:p w14:paraId="154F3425" w14:textId="77777777" w:rsidR="009172AD" w:rsidRPr="00AC2FE5" w:rsidRDefault="009172AD" w:rsidP="009172AD">
      <w:pPr>
        <w:numPr>
          <w:ilvl w:val="0"/>
          <w:numId w:val="30"/>
        </w:numPr>
        <w:tabs>
          <w:tab w:val="left" w:pos="720"/>
        </w:tabs>
        <w:rPr>
          <w:rFonts w:cs="Times New Roman"/>
          <w:szCs w:val="20"/>
        </w:rPr>
      </w:pPr>
      <w:r w:rsidRPr="00AC2FE5">
        <w:rPr>
          <w:rFonts w:cs="Times New Roman"/>
          <w:szCs w:val="20"/>
        </w:rPr>
        <w:t>A relatively stable political environment</w:t>
      </w:r>
    </w:p>
    <w:p w14:paraId="1A90246B" w14:textId="77777777" w:rsidR="009172AD" w:rsidRPr="00AC2FE5" w:rsidRDefault="009172AD" w:rsidP="009172AD">
      <w:pPr>
        <w:numPr>
          <w:ilvl w:val="0"/>
          <w:numId w:val="30"/>
        </w:numPr>
        <w:tabs>
          <w:tab w:val="left" w:pos="720"/>
        </w:tabs>
        <w:rPr>
          <w:rFonts w:cs="Times New Roman"/>
          <w:szCs w:val="20"/>
        </w:rPr>
      </w:pPr>
      <w:r w:rsidRPr="00AC2FE5">
        <w:rPr>
          <w:rFonts w:cs="Times New Roman"/>
          <w:szCs w:val="20"/>
        </w:rPr>
        <w:t>A well-organized financial market</w:t>
      </w:r>
    </w:p>
    <w:p w14:paraId="26D1E075" w14:textId="77777777" w:rsidR="009172AD" w:rsidRPr="00AC2FE5" w:rsidRDefault="009172AD" w:rsidP="009172AD">
      <w:pPr>
        <w:numPr>
          <w:ilvl w:val="0"/>
          <w:numId w:val="30"/>
        </w:numPr>
        <w:tabs>
          <w:tab w:val="left" w:pos="720"/>
        </w:tabs>
        <w:rPr>
          <w:rFonts w:cs="Times New Roman"/>
          <w:szCs w:val="20"/>
        </w:rPr>
      </w:pPr>
      <w:r w:rsidRPr="00AC2FE5">
        <w:rPr>
          <w:rFonts w:cs="Times New Roman"/>
          <w:szCs w:val="20"/>
        </w:rPr>
        <w:t>A market that provides ample liquidity for its shares</w:t>
      </w:r>
    </w:p>
    <w:p w14:paraId="5C9CBC33" w14:textId="77777777" w:rsidR="009172AD" w:rsidRPr="00AC2FE5" w:rsidRDefault="009172AD" w:rsidP="009172AD">
      <w:pPr>
        <w:numPr>
          <w:ilvl w:val="0"/>
          <w:numId w:val="30"/>
        </w:numPr>
        <w:tabs>
          <w:tab w:val="left" w:pos="720"/>
        </w:tabs>
        <w:rPr>
          <w:rFonts w:cs="Times New Roman"/>
          <w:szCs w:val="20"/>
        </w:rPr>
      </w:pPr>
      <w:r w:rsidRPr="00AC2FE5">
        <w:rPr>
          <w:rFonts w:cs="Times New Roman"/>
          <w:szCs w:val="20"/>
        </w:rPr>
        <w:t>A sound legal system that protects property rights and upholds contractual obligations</w:t>
      </w:r>
    </w:p>
    <w:p w14:paraId="03ECC640" w14:textId="77777777" w:rsidR="009172AD" w:rsidRPr="00AC2FE5" w:rsidRDefault="009172AD">
      <w:pPr>
        <w:rPr>
          <w:rFonts w:cs="Times New Roman"/>
          <w:szCs w:val="20"/>
        </w:rPr>
      </w:pPr>
      <w:r w:rsidRPr="00AC2FE5">
        <w:rPr>
          <w:rFonts w:cs="Times New Roman"/>
          <w:szCs w:val="20"/>
        </w:rPr>
        <w:t xml:space="preserve"> </w:t>
      </w:r>
    </w:p>
    <w:p w14:paraId="2D7E30EF" w14:textId="77777777" w:rsidR="009172AD" w:rsidRDefault="009172AD">
      <w:pPr>
        <w:rPr>
          <w:rFonts w:cs="Times New Roman"/>
          <w:szCs w:val="20"/>
        </w:rPr>
      </w:pPr>
      <w:r w:rsidRPr="00AC2FE5">
        <w:rPr>
          <w:rFonts w:cs="Times New Roman"/>
          <w:szCs w:val="20"/>
        </w:rPr>
        <w:t xml:space="preserve">While these markets are defined as </w:t>
      </w:r>
      <w:r w:rsidRPr="00AC2FE5">
        <w:rPr>
          <w:rFonts w:cs="Times New Roman"/>
          <w:i/>
          <w:iCs/>
          <w:szCs w:val="20"/>
        </w:rPr>
        <w:t>emerging,</w:t>
      </w:r>
      <w:r w:rsidRPr="00AC2FE5">
        <w:rPr>
          <w:rFonts w:cs="Times New Roman"/>
          <w:szCs w:val="20"/>
        </w:rPr>
        <w:t xml:space="preserve"> the companies within the asset class are well-established companies in those countries. Typical holdings are the national banks, the land developers and telephone companies of the various countries concerned.</w:t>
      </w:r>
    </w:p>
    <w:p w14:paraId="5D2816B1" w14:textId="77777777" w:rsidR="00435DF1" w:rsidRPr="00AC2FE5" w:rsidRDefault="00435DF1">
      <w:pPr>
        <w:rPr>
          <w:rFonts w:cs="Times New Roman"/>
          <w:szCs w:val="20"/>
        </w:rPr>
      </w:pPr>
    </w:p>
    <w:p w14:paraId="65FB6448" w14:textId="77777777" w:rsidR="009172AD" w:rsidRPr="00AC2FE5" w:rsidRDefault="009172AD" w:rsidP="009172AD">
      <w:pPr>
        <w:pStyle w:val="Heading2"/>
        <w:rPr>
          <w:szCs w:val="26"/>
        </w:rPr>
      </w:pPr>
      <w:bookmarkStart w:id="4" w:name="_Toc412470192"/>
      <w:r w:rsidRPr="00AC2FE5">
        <w:rPr>
          <w:szCs w:val="26"/>
        </w:rPr>
        <w:t>Step Four: Select Your Investment Approach</w:t>
      </w:r>
      <w:bookmarkEnd w:id="4"/>
    </w:p>
    <w:p w14:paraId="78431224" w14:textId="77777777" w:rsidR="009172AD" w:rsidRPr="00AC2FE5" w:rsidRDefault="009172AD">
      <w:pPr>
        <w:rPr>
          <w:rFonts w:cs="Times New Roman"/>
          <w:szCs w:val="20"/>
        </w:rPr>
      </w:pPr>
    </w:p>
    <w:p w14:paraId="401BF62D" w14:textId="77777777" w:rsidR="009172AD" w:rsidRDefault="009172AD">
      <w:pPr>
        <w:rPr>
          <w:rFonts w:cs="Times New Roman"/>
          <w:szCs w:val="20"/>
        </w:rPr>
      </w:pPr>
      <w:r w:rsidRPr="00AC2FE5">
        <w:rPr>
          <w:rFonts w:cs="Times New Roman"/>
          <w:szCs w:val="20"/>
        </w:rPr>
        <w:t>As noted previously, the most important factor determining your investment outcome will be your asset allocation. Once you have determined your asset allocation, the next step is to select the investment vehicles that you will use to implement your portfolio strategy. Two important principles of Modern Portfolio Theory should guide this selection: (1) Diversify and (2) Stay invested.</w:t>
      </w:r>
    </w:p>
    <w:p w14:paraId="0BBFE302" w14:textId="77777777" w:rsidR="00A14625" w:rsidRPr="00AC2FE5" w:rsidRDefault="00A14625">
      <w:pPr>
        <w:rPr>
          <w:rFonts w:cs="Times New Roman"/>
          <w:szCs w:val="20"/>
        </w:rPr>
      </w:pPr>
    </w:p>
    <w:p w14:paraId="5B748237" w14:textId="77777777" w:rsidR="009172AD" w:rsidRPr="00AC2FE5" w:rsidRDefault="009172AD" w:rsidP="009172AD">
      <w:pPr>
        <w:pStyle w:val="Heading3"/>
      </w:pPr>
      <w:r w:rsidRPr="00AC2FE5">
        <w:t>Elements of Modern Portfolio Theory</w:t>
      </w:r>
    </w:p>
    <w:p w14:paraId="1FB4648E" w14:textId="77777777" w:rsidR="009172AD" w:rsidRPr="00AC2FE5" w:rsidRDefault="009172AD">
      <w:pPr>
        <w:rPr>
          <w:rFonts w:cs="Times New Roman"/>
          <w:szCs w:val="20"/>
        </w:rPr>
      </w:pPr>
    </w:p>
    <w:p w14:paraId="668256A1" w14:textId="77777777" w:rsidR="009172AD" w:rsidRPr="00AC2FE5" w:rsidRDefault="009172AD">
      <w:pPr>
        <w:rPr>
          <w:rFonts w:cs="Times New Roman"/>
          <w:szCs w:val="20"/>
        </w:rPr>
      </w:pPr>
      <w:r w:rsidRPr="00AC2FE5">
        <w:rPr>
          <w:rFonts w:cs="Times New Roman"/>
          <w:szCs w:val="20"/>
        </w:rPr>
        <w:t xml:space="preserve">The basis for the principles of your investment plan is a collection of the best evidence from the academic disciplines of economics and finance. Investment experts usually summarize this evidence as a body of knowledge called </w:t>
      </w:r>
      <w:r w:rsidR="00232C8D">
        <w:rPr>
          <w:rFonts w:cs="Times New Roman"/>
          <w:szCs w:val="20"/>
        </w:rPr>
        <w:t>“</w:t>
      </w:r>
      <w:r w:rsidRPr="00AC2FE5">
        <w:rPr>
          <w:rFonts w:cs="Times New Roman"/>
          <w:szCs w:val="20"/>
        </w:rPr>
        <w:t>Modern Portfolio Theory.</w:t>
      </w:r>
      <w:r w:rsidR="00232C8D">
        <w:rPr>
          <w:rFonts w:cs="Times New Roman"/>
          <w:szCs w:val="20"/>
        </w:rPr>
        <w:t>”</w:t>
      </w:r>
      <w:r w:rsidRPr="00AC2FE5">
        <w:rPr>
          <w:rFonts w:cs="Times New Roman"/>
          <w:szCs w:val="20"/>
        </w:rPr>
        <w:t xml:space="preserve"> </w:t>
      </w:r>
    </w:p>
    <w:p w14:paraId="31423D6C" w14:textId="77777777" w:rsidR="009172AD" w:rsidRPr="00AC2FE5" w:rsidRDefault="009172AD">
      <w:pPr>
        <w:rPr>
          <w:rFonts w:cs="Times New Roman"/>
          <w:szCs w:val="20"/>
        </w:rPr>
      </w:pPr>
    </w:p>
    <w:p w14:paraId="553B3764" w14:textId="77777777" w:rsidR="009172AD" w:rsidRPr="00AC2FE5" w:rsidRDefault="009172AD">
      <w:pPr>
        <w:rPr>
          <w:rFonts w:cs="Times New Roman"/>
          <w:szCs w:val="20"/>
        </w:rPr>
      </w:pPr>
      <w:r w:rsidRPr="00AC2FE5">
        <w:rPr>
          <w:rFonts w:cs="Times New Roman"/>
          <w:szCs w:val="20"/>
        </w:rPr>
        <w:t xml:space="preserve">The foundation of Modern Portfolio Theory was a 1952 paper, </w:t>
      </w:r>
      <w:r w:rsidR="00232C8D">
        <w:rPr>
          <w:rFonts w:cs="Times New Roman"/>
          <w:szCs w:val="20"/>
        </w:rPr>
        <w:t>“</w:t>
      </w:r>
      <w:r w:rsidRPr="00AC2FE5">
        <w:rPr>
          <w:rFonts w:cs="Times New Roman"/>
          <w:szCs w:val="20"/>
        </w:rPr>
        <w:t>Portfolio Selection,</w:t>
      </w:r>
      <w:r w:rsidR="00232C8D">
        <w:rPr>
          <w:rFonts w:cs="Times New Roman"/>
          <w:szCs w:val="20"/>
        </w:rPr>
        <w:t>”</w:t>
      </w:r>
      <w:r w:rsidRPr="00AC2FE5">
        <w:rPr>
          <w:rFonts w:cs="Times New Roman"/>
          <w:szCs w:val="20"/>
        </w:rPr>
        <w:t xml:space="preserve"> by Dr. Harry Markowitz, in which he established a theory explaining the best way for an investor to choose a portfolio. His basic theory was that investors should choose a portfolio that offers the best return for a given level of risk—the efficient portfolio mentioned previously.</w:t>
      </w:r>
      <w:r w:rsidR="00680881">
        <w:rPr>
          <w:rFonts w:cs="Times New Roman"/>
          <w:szCs w:val="20"/>
        </w:rPr>
        <w:t xml:space="preserve"> </w:t>
      </w:r>
      <w:r w:rsidRPr="00AC2FE5">
        <w:rPr>
          <w:rFonts w:cs="Times New Roman"/>
          <w:szCs w:val="20"/>
        </w:rPr>
        <w:t xml:space="preserve">Later work by contributors such as Dr. William Sharpe added to our understanding of how to choose the best portfolio from among a specific set of securities. </w:t>
      </w:r>
    </w:p>
    <w:p w14:paraId="5BC8EB64" w14:textId="77777777" w:rsidR="009172AD" w:rsidRPr="00AC2FE5" w:rsidRDefault="009172AD">
      <w:pPr>
        <w:rPr>
          <w:rFonts w:cs="Times New Roman"/>
          <w:szCs w:val="20"/>
        </w:rPr>
      </w:pPr>
    </w:p>
    <w:p w14:paraId="45FB4307" w14:textId="77777777" w:rsidR="009172AD" w:rsidRPr="00AC2FE5" w:rsidRDefault="009172AD">
      <w:pPr>
        <w:rPr>
          <w:rFonts w:cs="Times New Roman"/>
          <w:szCs w:val="20"/>
        </w:rPr>
      </w:pPr>
      <w:r w:rsidRPr="00AC2FE5">
        <w:rPr>
          <w:rFonts w:cs="Times New Roman"/>
          <w:szCs w:val="20"/>
        </w:rPr>
        <w:t>Modern Portfolio Theory is of such fundamental importance in investing that the economists who formulated the theory received the Nobel Prize in Economic Science in 1990.</w:t>
      </w:r>
      <w:r w:rsidR="005A72F9">
        <w:rPr>
          <w:rFonts w:cs="Times New Roman"/>
          <w:szCs w:val="20"/>
        </w:rPr>
        <w:t xml:space="preserve"> </w:t>
      </w:r>
      <w:r w:rsidRPr="00AC2FE5">
        <w:rPr>
          <w:rFonts w:cs="Times New Roman"/>
          <w:szCs w:val="20"/>
        </w:rPr>
        <w:t>In addition, most states have adopted Modern Portfolio Theory as the foundation for the prudent-investor rules that govern standards for trustees.</w:t>
      </w:r>
    </w:p>
    <w:p w14:paraId="53474C5E" w14:textId="77777777" w:rsidR="009172AD" w:rsidRPr="00AC2FE5" w:rsidRDefault="009172AD">
      <w:pPr>
        <w:rPr>
          <w:rFonts w:cs="Times New Roman"/>
          <w:szCs w:val="20"/>
        </w:rPr>
      </w:pPr>
    </w:p>
    <w:p w14:paraId="71499068" w14:textId="77777777" w:rsidR="009172AD" w:rsidRPr="00AC2FE5" w:rsidRDefault="009172AD">
      <w:pPr>
        <w:rPr>
          <w:rFonts w:cs="Times New Roman"/>
          <w:szCs w:val="20"/>
        </w:rPr>
      </w:pPr>
      <w:r w:rsidRPr="00AC2FE5">
        <w:rPr>
          <w:rFonts w:cs="Times New Roman"/>
          <w:szCs w:val="20"/>
        </w:rPr>
        <w:t>Modern Portfolio Theory has four basic premises. The first is that investors are inherently risk averse. Investors are not willing to accept risk, except where the level of returns generated will compensate them for that risk.</w:t>
      </w:r>
      <w:r w:rsidR="005A72F9">
        <w:rPr>
          <w:rFonts w:cs="Times New Roman"/>
          <w:szCs w:val="20"/>
        </w:rPr>
        <w:t xml:space="preserve"> </w:t>
      </w:r>
      <w:r w:rsidRPr="00AC2FE5">
        <w:rPr>
          <w:rFonts w:cs="Times New Roman"/>
          <w:szCs w:val="20"/>
        </w:rPr>
        <w:t>Investors are often more concerned with risk than they are with reward.</w:t>
      </w:r>
    </w:p>
    <w:p w14:paraId="2E35D2F4" w14:textId="77777777" w:rsidR="009172AD" w:rsidRPr="00AC2FE5" w:rsidRDefault="009172AD">
      <w:pPr>
        <w:rPr>
          <w:rFonts w:cs="Times New Roman"/>
          <w:szCs w:val="20"/>
        </w:rPr>
      </w:pPr>
    </w:p>
    <w:p w14:paraId="61EAA724" w14:textId="77777777" w:rsidR="009172AD" w:rsidRPr="00AC2FE5" w:rsidRDefault="009172AD">
      <w:pPr>
        <w:rPr>
          <w:rFonts w:cs="Times New Roman"/>
          <w:szCs w:val="20"/>
        </w:rPr>
      </w:pPr>
      <w:r w:rsidRPr="00AC2FE5">
        <w:rPr>
          <w:rFonts w:cs="Times New Roman"/>
          <w:szCs w:val="20"/>
        </w:rPr>
        <w:t>The second premise is that the securities markets are efficient.</w:t>
      </w:r>
      <w:r w:rsidR="00680881">
        <w:rPr>
          <w:rFonts w:cs="Times New Roman"/>
          <w:szCs w:val="20"/>
        </w:rPr>
        <w:t xml:space="preserve"> </w:t>
      </w:r>
      <w:r w:rsidR="001745FA">
        <w:rPr>
          <w:rFonts w:cs="Times New Roman"/>
          <w:szCs w:val="20"/>
        </w:rPr>
        <w:t xml:space="preserve">A number of studies over time have </w:t>
      </w:r>
      <w:r w:rsidRPr="00AC2FE5">
        <w:rPr>
          <w:rFonts w:cs="Times New Roman"/>
          <w:szCs w:val="20"/>
        </w:rPr>
        <w:t>support</w:t>
      </w:r>
      <w:r w:rsidR="001745FA">
        <w:rPr>
          <w:rFonts w:cs="Times New Roman"/>
          <w:szCs w:val="20"/>
        </w:rPr>
        <w:t>ed</w:t>
      </w:r>
      <w:r w:rsidRPr="00AC2FE5">
        <w:rPr>
          <w:rFonts w:cs="Times New Roman"/>
          <w:szCs w:val="20"/>
        </w:rPr>
        <w:t xml:space="preserve"> this idea.</w:t>
      </w:r>
      <w:r w:rsidR="001745FA">
        <w:rPr>
          <w:rStyle w:val="FootnoteReference"/>
          <w:rFonts w:cs="Times New Roman"/>
          <w:szCs w:val="20"/>
        </w:rPr>
        <w:footnoteReference w:id="15"/>
      </w:r>
      <w:r w:rsidR="005A72F9">
        <w:rPr>
          <w:rFonts w:cs="Times New Roman"/>
          <w:szCs w:val="20"/>
        </w:rPr>
        <w:t xml:space="preserve"> </w:t>
      </w:r>
      <w:r w:rsidRPr="00AC2FE5">
        <w:rPr>
          <w:rFonts w:cs="Times New Roman"/>
          <w:szCs w:val="20"/>
        </w:rPr>
        <w:t>In fact, advancing information technology and increased sophistication on the part of investors are causing the markets to become even more efficient.</w:t>
      </w:r>
    </w:p>
    <w:p w14:paraId="021AFB61" w14:textId="77777777" w:rsidR="009172AD" w:rsidRPr="00AC2FE5" w:rsidRDefault="009172AD">
      <w:pPr>
        <w:rPr>
          <w:rFonts w:cs="Times New Roman"/>
          <w:szCs w:val="20"/>
        </w:rPr>
      </w:pPr>
    </w:p>
    <w:p w14:paraId="602A6FE9" w14:textId="77777777" w:rsidR="009172AD" w:rsidRPr="00AC2FE5" w:rsidRDefault="009172AD">
      <w:pPr>
        <w:rPr>
          <w:rFonts w:cs="Times New Roman"/>
          <w:szCs w:val="20"/>
        </w:rPr>
      </w:pPr>
      <w:r w:rsidRPr="00AC2FE5">
        <w:rPr>
          <w:rFonts w:cs="Times New Roman"/>
          <w:szCs w:val="20"/>
        </w:rPr>
        <w:t>The third is that the focus of attention should be shifted away from individual securities analysis to consideration of a portfolio as a whole, predicated on the explicit risk/reward parameters and on the total portfolio objectives. The efficient allocation of capital in your portfolio to specific asset classes will be far more important than selecting the individual investments.</w:t>
      </w:r>
    </w:p>
    <w:p w14:paraId="571415E9" w14:textId="77777777" w:rsidR="009172AD" w:rsidRPr="00AC2FE5" w:rsidRDefault="009172AD">
      <w:pPr>
        <w:rPr>
          <w:rFonts w:cs="Times New Roman"/>
          <w:szCs w:val="20"/>
        </w:rPr>
      </w:pPr>
    </w:p>
    <w:p w14:paraId="38997B70" w14:textId="77777777" w:rsidR="009172AD" w:rsidRDefault="009172AD">
      <w:pPr>
        <w:rPr>
          <w:rFonts w:cs="Times New Roman"/>
          <w:szCs w:val="20"/>
        </w:rPr>
      </w:pPr>
      <w:r w:rsidRPr="00AC2FE5">
        <w:rPr>
          <w:rFonts w:cs="Times New Roman"/>
          <w:szCs w:val="20"/>
        </w:rPr>
        <w:t>The final premise of Modern Portfolio Theory is that for every risk level there is an optimal combination of asset classes that will maximize returns. Quantitative methods can be used to measure risk and to diversify effectively among asset classes.</w:t>
      </w:r>
      <w:r w:rsidR="00680881">
        <w:rPr>
          <w:rFonts w:cs="Times New Roman"/>
          <w:szCs w:val="20"/>
        </w:rPr>
        <w:t xml:space="preserve"> </w:t>
      </w:r>
      <w:r w:rsidRPr="00AC2FE5">
        <w:rPr>
          <w:rFonts w:cs="Times New Roman"/>
          <w:szCs w:val="20"/>
        </w:rPr>
        <w:t>Portfolio diversification is not so much a function of how many individual stocks or bonds are involved as it is of the relationship of each asset to every other asset. The percentage and the proportionality of these assets in the portfolio are of paramount importance.</w:t>
      </w:r>
    </w:p>
    <w:p w14:paraId="732151D3" w14:textId="77777777" w:rsidR="00A14625" w:rsidRPr="00AC2FE5" w:rsidRDefault="00A14625">
      <w:pPr>
        <w:rPr>
          <w:rFonts w:cs="Times New Roman"/>
          <w:szCs w:val="20"/>
        </w:rPr>
      </w:pPr>
    </w:p>
    <w:p w14:paraId="604CF932" w14:textId="77777777" w:rsidR="009172AD" w:rsidRPr="00AC2FE5" w:rsidRDefault="009172AD" w:rsidP="009172AD">
      <w:pPr>
        <w:pStyle w:val="Heading3"/>
      </w:pPr>
      <w:r w:rsidRPr="00AC2FE5">
        <w:t>1. Diversify</w:t>
      </w:r>
    </w:p>
    <w:p w14:paraId="0400E296" w14:textId="77777777" w:rsidR="009172AD" w:rsidRPr="00AC2FE5" w:rsidRDefault="009172AD">
      <w:pPr>
        <w:rPr>
          <w:rFonts w:cs="Times New Roman"/>
          <w:szCs w:val="20"/>
        </w:rPr>
      </w:pPr>
    </w:p>
    <w:p w14:paraId="31014BCA" w14:textId="77777777" w:rsidR="009172AD" w:rsidRPr="00AC2FE5" w:rsidRDefault="009172AD">
      <w:pPr>
        <w:rPr>
          <w:rFonts w:cs="Times New Roman"/>
          <w:szCs w:val="20"/>
        </w:rPr>
      </w:pPr>
      <w:r w:rsidRPr="00AC2FE5">
        <w:rPr>
          <w:rFonts w:cs="Times New Roman"/>
          <w:szCs w:val="20"/>
        </w:rPr>
        <w:t>One reason why many investors are reluctant to invest much in the stock market is that they know many stories of companies and stocks that have suddenly fallen on hard times.</w:t>
      </w:r>
      <w:r w:rsidR="005A72F9">
        <w:rPr>
          <w:rFonts w:cs="Times New Roman"/>
          <w:szCs w:val="20"/>
        </w:rPr>
        <w:t xml:space="preserve"> </w:t>
      </w:r>
      <w:r w:rsidRPr="00AC2FE5">
        <w:rPr>
          <w:rFonts w:cs="Times New Roman"/>
          <w:szCs w:val="20"/>
        </w:rPr>
        <w:t>Some investors imagine an investment in the stock market to be like that—when a stock has gone very high, it may be just the time that it is about to fall sharply.</w:t>
      </w:r>
      <w:r w:rsidR="005A72F9">
        <w:rPr>
          <w:rFonts w:cs="Times New Roman"/>
          <w:szCs w:val="20"/>
        </w:rPr>
        <w:t xml:space="preserve"> </w:t>
      </w:r>
      <w:r w:rsidRPr="00AC2FE5">
        <w:rPr>
          <w:rFonts w:cs="Times New Roman"/>
          <w:szCs w:val="20"/>
        </w:rPr>
        <w:t xml:space="preserve">The mistake they make when they think this way is that they forget that while a single stock may rise or fall dramatically, the movements of the overall market are generally much more subdued. </w:t>
      </w:r>
    </w:p>
    <w:p w14:paraId="19C5602C" w14:textId="77777777" w:rsidR="009172AD" w:rsidRPr="00AC2FE5" w:rsidRDefault="009172AD">
      <w:pPr>
        <w:rPr>
          <w:rFonts w:cs="Times New Roman"/>
          <w:szCs w:val="20"/>
        </w:rPr>
      </w:pPr>
    </w:p>
    <w:p w14:paraId="44073F04" w14:textId="77777777" w:rsidR="009172AD" w:rsidRPr="00AC2FE5" w:rsidRDefault="009172AD">
      <w:pPr>
        <w:rPr>
          <w:rFonts w:cs="Times New Roman"/>
          <w:szCs w:val="20"/>
        </w:rPr>
      </w:pPr>
      <w:r w:rsidRPr="00AC2FE5">
        <w:rPr>
          <w:rFonts w:cs="Times New Roman"/>
          <w:szCs w:val="20"/>
        </w:rPr>
        <w:t>Modern Portfolio Theory provides the reason. It explains that two effects govern the movements of every stock market and stock-specific events.</w:t>
      </w:r>
      <w:r w:rsidR="00791347">
        <w:rPr>
          <w:rFonts w:cs="Times New Roman"/>
          <w:szCs w:val="20"/>
        </w:rPr>
        <w:t xml:space="preserve"> </w:t>
      </w:r>
      <w:r w:rsidRPr="00AC2FE5">
        <w:rPr>
          <w:rFonts w:cs="Times New Roman"/>
          <w:szCs w:val="20"/>
        </w:rPr>
        <w:t>It is primarily the stock-specific events that cause individual stocks to move up or down wildly relative to the overall market. You may think that your best protection against stock-specific risk is to have portfolio managers that know all the companies in your portfolio well. The trouble is, the events that cause the most damage to stocks usually come as a complete surprise. A company may have a sudden product liability problem, or the chairman may die or come under a cloud. On the upside, the company may make a surprise new product announcement, or land a major contract. These events are often unanticipated, and so they cause price movements that not even the best portfolio managers can expect.</w:t>
      </w:r>
      <w:r w:rsidR="00791347">
        <w:rPr>
          <w:rFonts w:cs="Times New Roman"/>
          <w:szCs w:val="20"/>
        </w:rPr>
        <w:t xml:space="preserve"> </w:t>
      </w:r>
      <w:r w:rsidRPr="00AC2FE5">
        <w:rPr>
          <w:rFonts w:cs="Times New Roman"/>
          <w:szCs w:val="20"/>
        </w:rPr>
        <w:t>In fact, Modern Portfolio Theory tells us that if the market can anticipate an event, then the effect of the event is already evident in the stock</w:t>
      </w:r>
      <w:r w:rsidR="00232C8D">
        <w:rPr>
          <w:rFonts w:cs="Times New Roman"/>
          <w:szCs w:val="20"/>
        </w:rPr>
        <w:t>’</w:t>
      </w:r>
      <w:r w:rsidRPr="00AC2FE5">
        <w:rPr>
          <w:rFonts w:cs="Times New Roman"/>
          <w:szCs w:val="20"/>
        </w:rPr>
        <w:t>s price, and no further profit from knowledge of the event is possible.</w:t>
      </w:r>
    </w:p>
    <w:p w14:paraId="65095DC8" w14:textId="77777777" w:rsidR="009172AD" w:rsidRPr="00AC2FE5" w:rsidRDefault="009172AD">
      <w:pPr>
        <w:rPr>
          <w:rFonts w:cs="Times New Roman"/>
          <w:szCs w:val="20"/>
        </w:rPr>
      </w:pPr>
    </w:p>
    <w:p w14:paraId="335FBFFD" w14:textId="77777777" w:rsidR="009172AD" w:rsidRPr="00AC2FE5" w:rsidRDefault="009172AD">
      <w:pPr>
        <w:rPr>
          <w:rFonts w:cs="Times New Roman"/>
          <w:szCs w:val="20"/>
        </w:rPr>
      </w:pPr>
      <w:r w:rsidRPr="00AC2FE5">
        <w:rPr>
          <w:rFonts w:cs="Times New Roman"/>
          <w:szCs w:val="20"/>
        </w:rPr>
        <w:t>If it is surprising that portfolio managers cannot anticipate a stock</w:t>
      </w:r>
      <w:r w:rsidR="00232C8D">
        <w:rPr>
          <w:rFonts w:cs="Times New Roman"/>
          <w:szCs w:val="20"/>
        </w:rPr>
        <w:t>’</w:t>
      </w:r>
      <w:r w:rsidRPr="00AC2FE5">
        <w:rPr>
          <w:rFonts w:cs="Times New Roman"/>
          <w:szCs w:val="20"/>
        </w:rPr>
        <w:t>s movement</w:t>
      </w:r>
      <w:r w:rsidR="00CF0801">
        <w:rPr>
          <w:rFonts w:cs="Times New Roman"/>
          <w:szCs w:val="20"/>
        </w:rPr>
        <w:t>s</w:t>
      </w:r>
      <w:r w:rsidRPr="00AC2FE5">
        <w:rPr>
          <w:rFonts w:cs="Times New Roman"/>
          <w:szCs w:val="20"/>
        </w:rPr>
        <w:t xml:space="preserve">, then how can an investor protect a portfolio against them? The answer is diversification. The stock-specific movements of individual stocks may not be predictable, but over a diversified portfolio, they tend to cancel one another out. </w:t>
      </w:r>
    </w:p>
    <w:p w14:paraId="7B5509D3" w14:textId="77777777" w:rsidR="009172AD" w:rsidRPr="00AC2FE5" w:rsidRDefault="009172AD">
      <w:pPr>
        <w:rPr>
          <w:rFonts w:cs="Times New Roman"/>
          <w:szCs w:val="20"/>
        </w:rPr>
      </w:pPr>
    </w:p>
    <w:p w14:paraId="0866D758" w14:textId="77777777" w:rsidR="009172AD" w:rsidRDefault="009172AD">
      <w:pPr>
        <w:rPr>
          <w:rFonts w:cs="Times New Roman"/>
          <w:szCs w:val="20"/>
        </w:rPr>
      </w:pPr>
      <w:r w:rsidRPr="00AC2FE5">
        <w:rPr>
          <w:rFonts w:cs="Times New Roman"/>
          <w:szCs w:val="20"/>
        </w:rPr>
        <w:t>Modern Portfolio Theory tells us that we can build diversified portfolios to greatly reduce stock-specific risk, but that market events, which affect all stocks, are not diversifiable.</w:t>
      </w:r>
      <w:r w:rsidR="00791347">
        <w:rPr>
          <w:rFonts w:cs="Times New Roman"/>
          <w:szCs w:val="20"/>
        </w:rPr>
        <w:t xml:space="preserve"> </w:t>
      </w:r>
      <w:r w:rsidRPr="00AC2FE5">
        <w:rPr>
          <w:rFonts w:cs="Times New Roman"/>
          <w:szCs w:val="20"/>
        </w:rPr>
        <w:t>That is, even a diversified portfolio of stocks is subject to the overall movements of the market.</w:t>
      </w:r>
      <w:r w:rsidR="005A72F9">
        <w:rPr>
          <w:rFonts w:cs="Times New Roman"/>
          <w:szCs w:val="20"/>
        </w:rPr>
        <w:t xml:space="preserve"> </w:t>
      </w:r>
      <w:r w:rsidRPr="00AC2FE5">
        <w:rPr>
          <w:rFonts w:cs="Times New Roman"/>
          <w:szCs w:val="20"/>
        </w:rPr>
        <w:t>Fortunately, the theory predicts that the market rewards us for taking this risk by giving us generous long-term growth potential. The asset allocation decision is where we decide how aggressively to pursue this long-term growth.</w:t>
      </w:r>
    </w:p>
    <w:p w14:paraId="6C600FD3" w14:textId="77777777" w:rsidR="00A14625" w:rsidRDefault="00A14625">
      <w:pPr>
        <w:rPr>
          <w:rFonts w:cs="Times New Roman"/>
          <w:szCs w:val="20"/>
        </w:rPr>
      </w:pPr>
    </w:p>
    <w:p w14:paraId="3C4C0F15" w14:textId="77777777" w:rsidR="009172AD" w:rsidRPr="00AC2FE5" w:rsidRDefault="009172AD" w:rsidP="009172AD">
      <w:pPr>
        <w:pStyle w:val="Heading3"/>
      </w:pPr>
      <w:r w:rsidRPr="00AC2FE5">
        <w:t>2. Stay Invested</w:t>
      </w:r>
    </w:p>
    <w:p w14:paraId="4CEB752A" w14:textId="77777777" w:rsidR="009172AD" w:rsidRPr="00AC2FE5" w:rsidRDefault="009172AD">
      <w:pPr>
        <w:rPr>
          <w:rFonts w:cs="Times New Roman"/>
          <w:szCs w:val="20"/>
        </w:rPr>
      </w:pPr>
    </w:p>
    <w:p w14:paraId="7FFAB29B" w14:textId="77777777" w:rsidR="009172AD" w:rsidRPr="00AC2FE5" w:rsidRDefault="009172AD">
      <w:pPr>
        <w:rPr>
          <w:rFonts w:cs="Times New Roman"/>
          <w:szCs w:val="20"/>
        </w:rPr>
      </w:pPr>
      <w:r w:rsidRPr="00AC2FE5">
        <w:rPr>
          <w:rFonts w:cs="Times New Roman"/>
          <w:szCs w:val="20"/>
        </w:rPr>
        <w:t>Investors often ask when the right time</w:t>
      </w:r>
      <w:r w:rsidR="00CF0801">
        <w:rPr>
          <w:rFonts w:cs="Times New Roman"/>
          <w:szCs w:val="20"/>
        </w:rPr>
        <w:t xml:space="preserve"> is</w:t>
      </w:r>
      <w:r w:rsidRPr="00AC2FE5">
        <w:rPr>
          <w:rFonts w:cs="Times New Roman"/>
          <w:szCs w:val="20"/>
        </w:rPr>
        <w:t xml:space="preserve"> to enter the market.</w:t>
      </w:r>
      <w:r w:rsidR="00791347">
        <w:rPr>
          <w:rFonts w:cs="Times New Roman"/>
          <w:szCs w:val="20"/>
        </w:rPr>
        <w:t xml:space="preserve"> </w:t>
      </w:r>
      <w:r w:rsidRPr="00AC2FE5">
        <w:rPr>
          <w:rFonts w:cs="Times New Roman"/>
          <w:szCs w:val="20"/>
        </w:rPr>
        <w:t>For a long-term investor, the answer is today.</w:t>
      </w:r>
      <w:r w:rsidR="005A72F9">
        <w:rPr>
          <w:rFonts w:cs="Times New Roman"/>
          <w:szCs w:val="20"/>
        </w:rPr>
        <w:t xml:space="preserve"> </w:t>
      </w:r>
      <w:r w:rsidRPr="00AC2FE5">
        <w:rPr>
          <w:rFonts w:cs="Times New Roman"/>
          <w:szCs w:val="20"/>
        </w:rPr>
        <w:t>There is no short-term investment opinion behind that statement.</w:t>
      </w:r>
      <w:r w:rsidR="005A72F9">
        <w:rPr>
          <w:rFonts w:cs="Times New Roman"/>
          <w:szCs w:val="20"/>
        </w:rPr>
        <w:t xml:space="preserve"> </w:t>
      </w:r>
      <w:r w:rsidRPr="00AC2FE5">
        <w:rPr>
          <w:rFonts w:cs="Times New Roman"/>
          <w:szCs w:val="20"/>
        </w:rPr>
        <w:t xml:space="preserve">No one can predict the movements of the market for the </w:t>
      </w:r>
      <w:r w:rsidRPr="00AC2FE5">
        <w:rPr>
          <w:rFonts w:cs="Times New Roman"/>
          <w:szCs w:val="20"/>
        </w:rPr>
        <w:lastRenderedPageBreak/>
        <w:t>next month or year.</w:t>
      </w:r>
      <w:r w:rsidRPr="00AC2FE5">
        <w:rPr>
          <w:rStyle w:val="FootnoteReference"/>
          <w:rFonts w:cs="Times New Roman"/>
          <w:szCs w:val="20"/>
        </w:rPr>
        <w:footnoteReference w:id="16"/>
      </w:r>
      <w:r w:rsidRPr="00AC2FE5">
        <w:rPr>
          <w:rFonts w:cs="Times New Roman"/>
          <w:szCs w:val="20"/>
        </w:rPr>
        <w:t xml:space="preserve"> Just as with unanticipated events, if portfolio managers could somehow predict the future movement of the market, then prices in the market would already reflect that knowledge, and so it would be impossible to profit from it.</w:t>
      </w:r>
    </w:p>
    <w:p w14:paraId="4FA2E928" w14:textId="77777777" w:rsidR="009172AD" w:rsidRPr="00AC2FE5" w:rsidRDefault="009172AD">
      <w:pPr>
        <w:rPr>
          <w:rFonts w:cs="Times New Roman"/>
          <w:szCs w:val="20"/>
        </w:rPr>
      </w:pPr>
    </w:p>
    <w:p w14:paraId="37D77F52" w14:textId="77777777" w:rsidR="009172AD" w:rsidRPr="00AC2FE5" w:rsidRDefault="009172AD">
      <w:pPr>
        <w:rPr>
          <w:rFonts w:cs="Times New Roman"/>
          <w:szCs w:val="20"/>
        </w:rPr>
      </w:pPr>
      <w:r w:rsidRPr="00762303">
        <w:rPr>
          <w:rFonts w:cs="Times New Roman"/>
          <w:szCs w:val="20"/>
        </w:rPr>
        <w:t>Even though there is always a danger that the market will go down tomorrow, today is the right day to start investing. The next chart shows why. A large proportion of the long-term gain in investment in the stock market comes from sharp upward bursts.</w:t>
      </w:r>
      <w:r w:rsidR="00791347" w:rsidRPr="00762303">
        <w:rPr>
          <w:rFonts w:cs="Times New Roman"/>
          <w:szCs w:val="20"/>
        </w:rPr>
        <w:t xml:space="preserve"> </w:t>
      </w:r>
      <w:r w:rsidR="001510C8" w:rsidRPr="00762303">
        <w:rPr>
          <w:rFonts w:cs="Times New Roman"/>
          <w:szCs w:val="20"/>
        </w:rPr>
        <w:t>One thousand dollars invested January 1, 19</w:t>
      </w:r>
      <w:r w:rsidR="007250DD" w:rsidRPr="00762303">
        <w:rPr>
          <w:rFonts w:cs="Times New Roman"/>
          <w:szCs w:val="20"/>
        </w:rPr>
        <w:t>9</w:t>
      </w:r>
      <w:r w:rsidR="001510C8" w:rsidRPr="00762303">
        <w:rPr>
          <w:rFonts w:cs="Times New Roman"/>
          <w:szCs w:val="20"/>
        </w:rPr>
        <w:t xml:space="preserve">0, in the S&amp;P 500 Index would have </w:t>
      </w:r>
      <w:r w:rsidR="00CF0801" w:rsidRPr="00762303">
        <w:rPr>
          <w:rFonts w:cs="Times New Roman"/>
          <w:szCs w:val="20"/>
        </w:rPr>
        <w:t xml:space="preserve">grown </w:t>
      </w:r>
      <w:r w:rsidR="005C091D" w:rsidRPr="00762303">
        <w:rPr>
          <w:rFonts w:cs="Times New Roman"/>
          <w:szCs w:val="20"/>
        </w:rPr>
        <w:t>to $</w:t>
      </w:r>
      <w:r w:rsidR="007250DD" w:rsidRPr="00762303">
        <w:rPr>
          <w:rFonts w:cs="Times New Roman"/>
          <w:szCs w:val="20"/>
        </w:rPr>
        <w:t>13</w:t>
      </w:r>
      <w:r w:rsidR="002455AD" w:rsidRPr="00762303">
        <w:rPr>
          <w:rFonts w:cs="Times New Roman"/>
          <w:szCs w:val="20"/>
        </w:rPr>
        <w:t>,</w:t>
      </w:r>
      <w:r w:rsidR="006B50CE" w:rsidRPr="00762303">
        <w:rPr>
          <w:rFonts w:cs="Times New Roman"/>
          <w:szCs w:val="20"/>
        </w:rPr>
        <w:t>137</w:t>
      </w:r>
      <w:r w:rsidR="001510C8" w:rsidRPr="00762303">
        <w:rPr>
          <w:rFonts w:cs="Times New Roman"/>
          <w:szCs w:val="20"/>
        </w:rPr>
        <w:t xml:space="preserve"> by December 31, 201</w:t>
      </w:r>
      <w:r w:rsidR="006B50CE" w:rsidRPr="00762303">
        <w:rPr>
          <w:rFonts w:cs="Times New Roman"/>
          <w:szCs w:val="20"/>
        </w:rPr>
        <w:t>8</w:t>
      </w:r>
      <w:r w:rsidR="001510C8" w:rsidRPr="00762303">
        <w:rPr>
          <w:rFonts w:cs="Times New Roman"/>
          <w:szCs w:val="20"/>
        </w:rPr>
        <w:t>. However, j</w:t>
      </w:r>
      <w:r w:rsidRPr="00762303">
        <w:rPr>
          <w:rFonts w:cs="Times New Roman"/>
          <w:szCs w:val="20"/>
        </w:rPr>
        <w:t xml:space="preserve">ust missing </w:t>
      </w:r>
      <w:r w:rsidR="001510C8" w:rsidRPr="00762303">
        <w:rPr>
          <w:rFonts w:cs="Times New Roman"/>
          <w:szCs w:val="20"/>
        </w:rPr>
        <w:t xml:space="preserve">a few of the best days during that time </w:t>
      </w:r>
      <w:r w:rsidRPr="00762303">
        <w:rPr>
          <w:rFonts w:cs="Times New Roman"/>
          <w:szCs w:val="20"/>
        </w:rPr>
        <w:t xml:space="preserve">would have resulted in dramatically lower returns than staying invested throughout the period. </w:t>
      </w:r>
      <w:r w:rsidR="001510C8" w:rsidRPr="00762303">
        <w:rPr>
          <w:rFonts w:cs="Times New Roman"/>
          <w:szCs w:val="20"/>
        </w:rPr>
        <w:t>For example, m</w:t>
      </w:r>
      <w:r w:rsidR="00545729" w:rsidRPr="00762303">
        <w:rPr>
          <w:rFonts w:cs="Times New Roman"/>
          <w:szCs w:val="20"/>
        </w:rPr>
        <w:t xml:space="preserve">issing the </w:t>
      </w:r>
      <w:r w:rsidR="001510C8" w:rsidRPr="00762303">
        <w:rPr>
          <w:rFonts w:cs="Times New Roman"/>
          <w:szCs w:val="20"/>
        </w:rPr>
        <w:t xml:space="preserve">five </w:t>
      </w:r>
      <w:r w:rsidR="00545729" w:rsidRPr="00762303">
        <w:rPr>
          <w:rFonts w:cs="Times New Roman"/>
          <w:szCs w:val="20"/>
        </w:rPr>
        <w:t>best day</w:t>
      </w:r>
      <w:r w:rsidR="001510C8" w:rsidRPr="00762303">
        <w:rPr>
          <w:rFonts w:cs="Times New Roman"/>
          <w:szCs w:val="20"/>
        </w:rPr>
        <w:t>s</w:t>
      </w:r>
      <w:r w:rsidR="00545729" w:rsidRPr="00762303">
        <w:rPr>
          <w:rFonts w:cs="Times New Roman"/>
          <w:szCs w:val="20"/>
        </w:rPr>
        <w:t xml:space="preserve"> during that period would have meant that the $1,000 investment grew to </w:t>
      </w:r>
      <w:r w:rsidR="001510C8" w:rsidRPr="00762303">
        <w:rPr>
          <w:rFonts w:cs="Times New Roman"/>
          <w:szCs w:val="20"/>
        </w:rPr>
        <w:t xml:space="preserve">only </w:t>
      </w:r>
      <w:r w:rsidR="00545729" w:rsidRPr="00762303">
        <w:rPr>
          <w:rFonts w:cs="Times New Roman"/>
          <w:szCs w:val="20"/>
        </w:rPr>
        <w:t>$</w:t>
      </w:r>
      <w:r w:rsidR="006B50CE" w:rsidRPr="00762303">
        <w:rPr>
          <w:rFonts w:cs="Times New Roman"/>
          <w:szCs w:val="20"/>
        </w:rPr>
        <w:t>8,715</w:t>
      </w:r>
      <w:r w:rsidR="00545729" w:rsidRPr="00762303">
        <w:rPr>
          <w:rFonts w:cs="Times New Roman"/>
          <w:szCs w:val="20"/>
        </w:rPr>
        <w:t xml:space="preserve">. And missing out on the 25 best days would have meant that the $1,000 investment grew to just </w:t>
      </w:r>
      <w:r w:rsidR="005C091D" w:rsidRPr="00762303">
        <w:rPr>
          <w:rFonts w:cs="Times New Roman"/>
          <w:szCs w:val="20"/>
        </w:rPr>
        <w:t>$</w:t>
      </w:r>
      <w:r w:rsidR="007250DD" w:rsidRPr="00762303">
        <w:rPr>
          <w:rFonts w:cs="Times New Roman"/>
          <w:szCs w:val="20"/>
        </w:rPr>
        <w:t>3,</w:t>
      </w:r>
      <w:r w:rsidR="006B50CE" w:rsidRPr="00762303">
        <w:rPr>
          <w:rFonts w:cs="Times New Roman"/>
          <w:szCs w:val="20"/>
        </w:rPr>
        <w:t>281</w:t>
      </w:r>
      <w:r w:rsidR="001510C8" w:rsidRPr="00762303">
        <w:rPr>
          <w:rFonts w:cs="Times New Roman"/>
          <w:szCs w:val="20"/>
        </w:rPr>
        <w:t xml:space="preserve"> by the end of 201</w:t>
      </w:r>
      <w:r w:rsidR="006B50CE" w:rsidRPr="00762303">
        <w:rPr>
          <w:rFonts w:cs="Times New Roman"/>
          <w:szCs w:val="20"/>
        </w:rPr>
        <w:t>8</w:t>
      </w:r>
      <w:r w:rsidRPr="00762303">
        <w:rPr>
          <w:rFonts w:cs="Times New Roman"/>
          <w:szCs w:val="20"/>
        </w:rPr>
        <w:t>.</w:t>
      </w:r>
      <w:r w:rsidRPr="00762303">
        <w:rPr>
          <w:rStyle w:val="FootnoteReference"/>
          <w:rFonts w:cs="Times New Roman"/>
          <w:szCs w:val="20"/>
        </w:rPr>
        <w:footnoteReference w:id="17"/>
      </w:r>
      <w:r w:rsidR="005A72F9" w:rsidRPr="00762303">
        <w:rPr>
          <w:rFonts w:cs="Times New Roman"/>
          <w:szCs w:val="20"/>
        </w:rPr>
        <w:t xml:space="preserve"> </w:t>
      </w:r>
      <w:r w:rsidRPr="00762303">
        <w:rPr>
          <w:rFonts w:cs="Times New Roman"/>
          <w:szCs w:val="20"/>
        </w:rPr>
        <w:t>Smart investors stay invested for the long term.</w:t>
      </w:r>
    </w:p>
    <w:p w14:paraId="613C33D2" w14:textId="77777777" w:rsidR="009172AD" w:rsidRPr="00AC2FE5" w:rsidRDefault="009172AD">
      <w:pPr>
        <w:rPr>
          <w:rFonts w:cs="Times New Roman"/>
          <w:szCs w:val="20"/>
        </w:rPr>
      </w:pPr>
    </w:p>
    <w:p w14:paraId="5D9CE09F" w14:textId="77777777" w:rsidR="004945E0" w:rsidRDefault="004945E0">
      <w:pPr>
        <w:pBdr>
          <w:top w:val="single" w:sz="6" w:space="1" w:color="auto"/>
          <w:left w:val="single" w:sz="6" w:space="4" w:color="auto"/>
          <w:bottom w:val="single" w:sz="6" w:space="1" w:color="auto"/>
          <w:right w:val="single" w:sz="6" w:space="4" w:color="auto"/>
        </w:pBdr>
        <w:jc w:val="center"/>
        <w:rPr>
          <w:rFonts w:cs="Times New Roman"/>
          <w:b/>
          <w:bCs/>
          <w:szCs w:val="20"/>
        </w:rPr>
      </w:pPr>
      <w:r>
        <w:rPr>
          <w:rFonts w:cs="Times New Roman"/>
          <w:b/>
          <w:bCs/>
          <w:szCs w:val="20"/>
        </w:rPr>
        <w:t>Performance of the S&amp;P 500 Index, 19</w:t>
      </w:r>
      <w:r w:rsidR="007250DD">
        <w:rPr>
          <w:rFonts w:cs="Times New Roman"/>
          <w:b/>
          <w:bCs/>
          <w:szCs w:val="20"/>
        </w:rPr>
        <w:t>90</w:t>
      </w:r>
      <w:r w:rsidR="003E1DCE">
        <w:rPr>
          <w:rFonts w:ascii="Calibri" w:hAnsi="Calibri" w:cs="Times New Roman"/>
          <w:b/>
          <w:bCs/>
          <w:sz w:val="18"/>
          <w:szCs w:val="18"/>
        </w:rPr>
        <w:t>–</w:t>
      </w:r>
      <w:r w:rsidR="00B9421B">
        <w:rPr>
          <w:rFonts w:cs="Times New Roman"/>
          <w:b/>
          <w:bCs/>
          <w:szCs w:val="20"/>
        </w:rPr>
        <w:t>201</w:t>
      </w:r>
      <w:r w:rsidR="0028699D">
        <w:rPr>
          <w:rFonts w:cs="Times New Roman"/>
          <w:b/>
          <w:bCs/>
          <w:szCs w:val="20"/>
        </w:rPr>
        <w:t>8</w:t>
      </w:r>
    </w:p>
    <w:p w14:paraId="66620BBA" w14:textId="77777777" w:rsidR="009172AD" w:rsidRPr="00AC2FE5" w:rsidRDefault="00395949">
      <w:pPr>
        <w:pBdr>
          <w:top w:val="single" w:sz="6" w:space="1" w:color="auto"/>
          <w:left w:val="single" w:sz="6" w:space="4" w:color="auto"/>
          <w:bottom w:val="single" w:sz="6" w:space="1" w:color="auto"/>
          <w:right w:val="single" w:sz="6" w:space="4" w:color="auto"/>
        </w:pBdr>
        <w:jc w:val="center"/>
        <w:rPr>
          <w:rFonts w:cs="Times New Roman"/>
          <w:b/>
          <w:bCs/>
          <w:szCs w:val="20"/>
        </w:rPr>
      </w:pPr>
      <w:r>
        <w:rPr>
          <w:rFonts w:cs="Times New Roman"/>
          <w:b/>
          <w:bCs/>
          <w:szCs w:val="20"/>
        </w:rPr>
        <w:t xml:space="preserve">Hypothetical </w:t>
      </w:r>
      <w:r w:rsidR="009172AD" w:rsidRPr="0043627A">
        <w:rPr>
          <w:rFonts w:cs="Times New Roman"/>
          <w:b/>
          <w:bCs/>
          <w:szCs w:val="20"/>
        </w:rPr>
        <w:t>Growth of $1</w:t>
      </w:r>
      <w:r w:rsidR="004945E0">
        <w:rPr>
          <w:rFonts w:cs="Times New Roman"/>
          <w:b/>
          <w:bCs/>
          <w:szCs w:val="20"/>
        </w:rPr>
        <w:t>,000</w:t>
      </w:r>
    </w:p>
    <w:p w14:paraId="5A68C1D9" w14:textId="11266F6D" w:rsidR="009172AD" w:rsidRPr="004945E0" w:rsidRDefault="004945E0">
      <w:pPr>
        <w:pBdr>
          <w:top w:val="single" w:sz="6" w:space="1" w:color="auto"/>
          <w:left w:val="single" w:sz="6" w:space="4" w:color="auto"/>
          <w:bottom w:val="single" w:sz="6" w:space="1" w:color="auto"/>
          <w:right w:val="single" w:sz="6" w:space="4" w:color="auto"/>
        </w:pBdr>
        <w:jc w:val="center"/>
        <w:rPr>
          <w:rFonts w:cs="Times New Roman"/>
          <w:b/>
          <w:bCs/>
          <w:sz w:val="18"/>
          <w:szCs w:val="18"/>
        </w:rPr>
      </w:pPr>
      <w:r w:rsidRPr="004945E0">
        <w:rPr>
          <w:rFonts w:cs="Times New Roman"/>
          <w:b/>
          <w:bCs/>
          <w:sz w:val="18"/>
          <w:szCs w:val="18"/>
        </w:rPr>
        <w:t>Annualized Compound Return</w:t>
      </w:r>
      <w:r w:rsidR="00762303">
        <w:rPr>
          <w:rFonts w:cs="Times New Roman"/>
          <w:b/>
          <w:bCs/>
          <w:sz w:val="18"/>
          <w:szCs w:val="18"/>
        </w:rPr>
        <w:t>s</w:t>
      </w:r>
    </w:p>
    <w:p w14:paraId="7FE19585" w14:textId="77777777" w:rsidR="00615BAD" w:rsidRPr="00EE169F" w:rsidRDefault="00615BAD" w:rsidP="00615BAD">
      <w:pPr>
        <w:widowControl/>
        <w:autoSpaceDE/>
        <w:autoSpaceDN/>
        <w:adjustRightInd/>
        <w:jc w:val="center"/>
        <w:rPr>
          <w:noProof/>
          <w:sz w:val="8"/>
          <w:szCs w:val="8"/>
        </w:rPr>
      </w:pPr>
    </w:p>
    <w:p w14:paraId="0C31FA8B" w14:textId="77777777" w:rsidR="004945E0" w:rsidRDefault="00132B81" w:rsidP="00615BAD">
      <w:pPr>
        <w:widowControl/>
        <w:autoSpaceDE/>
        <w:autoSpaceDN/>
        <w:adjustRightInd/>
        <w:jc w:val="center"/>
        <w:rPr>
          <w:rFonts w:ascii="Calibri" w:hAnsi="Calibri" w:cs="Calibri"/>
          <w:color w:val="000000"/>
          <w:sz w:val="22"/>
          <w:szCs w:val="22"/>
        </w:rPr>
      </w:pPr>
      <w:r>
        <w:rPr>
          <w:noProof/>
        </w:rPr>
        <w:pict w14:anchorId="2E6B1D88">
          <v:shape id="_x0000_i1032" type="#_x0000_t75" style="width:6in;height:233.4pt;visibility:visible;mso-wrap-style:square">
            <v:imagedata r:id="rId17" o:title=""/>
          </v:shape>
        </w:pict>
      </w:r>
    </w:p>
    <w:p w14:paraId="74655746" w14:textId="77777777" w:rsidR="00251FDA" w:rsidRPr="004E6969" w:rsidRDefault="00251FDA" w:rsidP="00251FDA">
      <w:pPr>
        <w:rPr>
          <w:rFonts w:cs="Times New Roman"/>
          <w:color w:val="000000"/>
          <w:sz w:val="18"/>
          <w:szCs w:val="18"/>
        </w:rPr>
      </w:pPr>
      <w:r w:rsidRPr="004E6969">
        <w:rPr>
          <w:color w:val="000000"/>
          <w:sz w:val="18"/>
          <w:szCs w:val="18"/>
        </w:rPr>
        <w:t>Past performance is not indicative of future results. This chart is provided for informational purposes only and should not be relied upon when making an investment decision.</w:t>
      </w:r>
    </w:p>
    <w:p w14:paraId="6ED1FBC8" w14:textId="77777777" w:rsidR="007F1417" w:rsidRDefault="007F1417" w:rsidP="00A14625"/>
    <w:p w14:paraId="08B52278" w14:textId="77777777" w:rsidR="009172AD" w:rsidRPr="00AC2FE5" w:rsidRDefault="005767FA" w:rsidP="009172AD">
      <w:pPr>
        <w:pStyle w:val="Heading2"/>
      </w:pPr>
      <w:bookmarkStart w:id="5" w:name="_Toc412470193"/>
      <w:r>
        <w:t>S</w:t>
      </w:r>
      <w:r w:rsidR="009172AD" w:rsidRPr="00AC2FE5">
        <w:t>tep Five: Build Your</w:t>
      </w:r>
      <w:r w:rsidR="009172AD">
        <w:t xml:space="preserve"> </w:t>
      </w:r>
      <w:r w:rsidR="009172AD" w:rsidRPr="00AC2FE5">
        <w:t>Portfolio</w:t>
      </w:r>
      <w:bookmarkEnd w:id="5"/>
    </w:p>
    <w:p w14:paraId="27F7FDFB" w14:textId="77777777" w:rsidR="009172AD" w:rsidRPr="00AC2FE5" w:rsidRDefault="009172AD">
      <w:pPr>
        <w:rPr>
          <w:rFonts w:cs="Times New Roman"/>
          <w:szCs w:val="20"/>
        </w:rPr>
      </w:pPr>
    </w:p>
    <w:p w14:paraId="6FD75C59" w14:textId="77777777" w:rsidR="009172AD" w:rsidRPr="00AC2FE5" w:rsidRDefault="009172AD">
      <w:pPr>
        <w:rPr>
          <w:rFonts w:cs="Times New Roman"/>
          <w:szCs w:val="20"/>
        </w:rPr>
      </w:pPr>
      <w:r w:rsidRPr="00AC2FE5">
        <w:rPr>
          <w:rFonts w:cs="Times New Roman"/>
          <w:szCs w:val="20"/>
        </w:rPr>
        <w:t>For most people, building a truly diversified portfolio is difficult.</w:t>
      </w:r>
      <w:r w:rsidR="005A72F9">
        <w:rPr>
          <w:rFonts w:cs="Times New Roman"/>
          <w:szCs w:val="20"/>
        </w:rPr>
        <w:t xml:space="preserve"> </w:t>
      </w:r>
      <w:r w:rsidRPr="00AC2FE5">
        <w:rPr>
          <w:rFonts w:cs="Times New Roman"/>
          <w:szCs w:val="20"/>
        </w:rPr>
        <w:t xml:space="preserve">Imagine that you wanted to build a diversified portfolio of 500 stocks worldwide. To do a good job, you may need to have $5 million or more to invest. Many investors do not have, or choose to invest, this much. </w:t>
      </w:r>
    </w:p>
    <w:p w14:paraId="33FEBE31" w14:textId="77777777" w:rsidR="009172AD" w:rsidRPr="00AC2FE5" w:rsidRDefault="009172AD">
      <w:pPr>
        <w:rPr>
          <w:rFonts w:cs="Times New Roman"/>
          <w:szCs w:val="20"/>
        </w:rPr>
      </w:pPr>
    </w:p>
    <w:p w14:paraId="4ED31B04" w14:textId="77777777" w:rsidR="009172AD" w:rsidRDefault="009172AD">
      <w:pPr>
        <w:rPr>
          <w:rFonts w:cs="Times New Roman"/>
          <w:szCs w:val="20"/>
        </w:rPr>
      </w:pPr>
      <w:r w:rsidRPr="00AC2FE5">
        <w:rPr>
          <w:rFonts w:cs="Times New Roman"/>
          <w:szCs w:val="20"/>
        </w:rPr>
        <w:t>Even if you have enough money to build a diversified portfolio, you may not have enough time. Choosing 500 stocks that you can buy with confidence is difficult enough. Once you had bought the stocks, you would still have a lot of work ahead of you. You would receive masses of information on a large number of companies, and you would have to review your portfolio regularly to decide whether it still suits your objectives.</w:t>
      </w:r>
      <w:r w:rsidR="005A72F9">
        <w:rPr>
          <w:rFonts w:cs="Times New Roman"/>
          <w:szCs w:val="20"/>
        </w:rPr>
        <w:t xml:space="preserve"> </w:t>
      </w:r>
      <w:r w:rsidRPr="00AC2FE5">
        <w:rPr>
          <w:rFonts w:cs="Times New Roman"/>
          <w:szCs w:val="20"/>
        </w:rPr>
        <w:t>It would be a lot of work to even calculate the performance of your portfolio and decide whether it was good or bad.</w:t>
      </w:r>
    </w:p>
    <w:p w14:paraId="13C051A8" w14:textId="77777777" w:rsidR="009172AD" w:rsidRPr="00AC2FE5" w:rsidRDefault="009172AD">
      <w:pPr>
        <w:rPr>
          <w:rFonts w:cs="Times New Roman"/>
          <w:szCs w:val="20"/>
        </w:rPr>
      </w:pPr>
    </w:p>
    <w:p w14:paraId="54094E68" w14:textId="77777777" w:rsidR="009172AD" w:rsidRPr="00AC2FE5" w:rsidRDefault="009172AD">
      <w:pPr>
        <w:rPr>
          <w:rFonts w:cs="Times New Roman"/>
          <w:szCs w:val="20"/>
        </w:rPr>
      </w:pPr>
      <w:r w:rsidRPr="00AC2FE5">
        <w:rPr>
          <w:rFonts w:cs="Times New Roman"/>
          <w:szCs w:val="20"/>
        </w:rPr>
        <w:lastRenderedPageBreak/>
        <w:t>An easier way to implement a diversified portfolio is through institutional asset class funds. By buying an institutional asset class fund, in a single transaction you invest in a broad diversified portfolio in a specific asset class.</w:t>
      </w:r>
      <w:r w:rsidR="00791347">
        <w:rPr>
          <w:rFonts w:cs="Times New Roman"/>
          <w:szCs w:val="20"/>
        </w:rPr>
        <w:t xml:space="preserve"> </w:t>
      </w:r>
      <w:r w:rsidRPr="00AC2FE5">
        <w:rPr>
          <w:rFonts w:cs="Times New Roman"/>
          <w:szCs w:val="20"/>
        </w:rPr>
        <w:t>These institutional asset class funds combine your investment with those of other investors to build up a pool of money large enough to buy a diversified portfolio.</w:t>
      </w:r>
      <w:r w:rsidR="00791347">
        <w:rPr>
          <w:rFonts w:cs="Times New Roman"/>
          <w:szCs w:val="20"/>
        </w:rPr>
        <w:t xml:space="preserve"> </w:t>
      </w:r>
      <w:r w:rsidRPr="00AC2FE5">
        <w:rPr>
          <w:rFonts w:cs="Times New Roman"/>
          <w:szCs w:val="20"/>
        </w:rPr>
        <w:t>The portfolio manager</w:t>
      </w:r>
      <w:r w:rsidR="00232C8D">
        <w:rPr>
          <w:rFonts w:cs="Times New Roman"/>
          <w:szCs w:val="20"/>
        </w:rPr>
        <w:t>’</w:t>
      </w:r>
      <w:r w:rsidRPr="00AC2FE5">
        <w:rPr>
          <w:rFonts w:cs="Times New Roman"/>
          <w:szCs w:val="20"/>
        </w:rPr>
        <w:t>s full-time job is making sure that the securities in the portfolio continue to be suitable for the fund</w:t>
      </w:r>
      <w:r w:rsidR="00232C8D">
        <w:rPr>
          <w:rFonts w:cs="Times New Roman"/>
          <w:szCs w:val="20"/>
        </w:rPr>
        <w:t>’</w:t>
      </w:r>
      <w:r w:rsidRPr="00AC2FE5">
        <w:rPr>
          <w:rFonts w:cs="Times New Roman"/>
          <w:szCs w:val="20"/>
        </w:rPr>
        <w:t>s investment objective.</w:t>
      </w:r>
    </w:p>
    <w:p w14:paraId="0411C45A" w14:textId="77777777" w:rsidR="009172AD" w:rsidRPr="0048263D" w:rsidRDefault="009172AD" w:rsidP="00D54FE2"/>
    <w:p w14:paraId="38A658A2" w14:textId="77777777" w:rsidR="009172AD" w:rsidRPr="00A341FF" w:rsidRDefault="009172AD" w:rsidP="00A341FF">
      <w:pPr>
        <w:pStyle w:val="Heading3"/>
      </w:pPr>
      <w:r w:rsidRPr="00A341FF">
        <w:t>Expected Rate of Return</w:t>
      </w:r>
    </w:p>
    <w:p w14:paraId="60A31192" w14:textId="77777777" w:rsidR="009172AD" w:rsidRPr="00AC2FE5" w:rsidRDefault="009172AD">
      <w:pPr>
        <w:rPr>
          <w:rFonts w:cs="Times New Roman"/>
          <w:szCs w:val="20"/>
        </w:rPr>
      </w:pPr>
    </w:p>
    <w:p w14:paraId="6AE5FC42" w14:textId="77777777" w:rsidR="009172AD" w:rsidRDefault="009172AD">
      <w:pPr>
        <w:rPr>
          <w:rFonts w:cs="Times New Roman"/>
          <w:szCs w:val="20"/>
        </w:rPr>
      </w:pPr>
      <w:r w:rsidRPr="00AC2FE5">
        <w:rPr>
          <w:rFonts w:cs="Times New Roman"/>
          <w:szCs w:val="20"/>
        </w:rPr>
        <w:t xml:space="preserve">The term </w:t>
      </w:r>
      <w:r w:rsidR="00232C8D">
        <w:rPr>
          <w:rFonts w:cs="Times New Roman"/>
          <w:szCs w:val="20"/>
        </w:rPr>
        <w:t>“</w:t>
      </w:r>
      <w:r w:rsidRPr="00AC2FE5">
        <w:rPr>
          <w:rFonts w:cs="Times New Roman"/>
          <w:szCs w:val="20"/>
        </w:rPr>
        <w:t>expected return</w:t>
      </w:r>
      <w:r w:rsidR="00232C8D">
        <w:rPr>
          <w:rFonts w:cs="Times New Roman"/>
          <w:szCs w:val="20"/>
        </w:rPr>
        <w:t>”</w:t>
      </w:r>
      <w:r w:rsidRPr="00AC2FE5">
        <w:rPr>
          <w:rFonts w:cs="Times New Roman"/>
          <w:szCs w:val="20"/>
        </w:rPr>
        <w:t xml:space="preserve"> is a term of specialized use, which is generally understood to mean the statistically achievable return (based on historical data) over a sufficiently long-time horizon. Expected returns are theoretical returns.</w:t>
      </w:r>
      <w:r w:rsidR="005A72F9">
        <w:rPr>
          <w:rFonts w:cs="Times New Roman"/>
          <w:szCs w:val="20"/>
        </w:rPr>
        <w:t xml:space="preserve"> </w:t>
      </w:r>
      <w:r w:rsidRPr="00AC2FE5">
        <w:rPr>
          <w:rFonts w:cs="Times New Roman"/>
          <w:szCs w:val="20"/>
        </w:rPr>
        <w:t>They are not estimated returns and are in no way indicative of actual or future performance.</w:t>
      </w:r>
      <w:r w:rsidR="005A72F9">
        <w:rPr>
          <w:rFonts w:cs="Times New Roman"/>
          <w:szCs w:val="20"/>
        </w:rPr>
        <w:t xml:space="preserve"> </w:t>
      </w:r>
      <w:r w:rsidRPr="00AC2FE5">
        <w:rPr>
          <w:rFonts w:cs="Times New Roman"/>
          <w:szCs w:val="20"/>
        </w:rPr>
        <w:t>In administering the managed portfolios, the expected rate of return of each asset class is the forecast arithmetic annual mean for the next five years.</w:t>
      </w:r>
      <w:r w:rsidR="005A72F9">
        <w:rPr>
          <w:rFonts w:cs="Times New Roman"/>
          <w:szCs w:val="20"/>
        </w:rPr>
        <w:t xml:space="preserve"> </w:t>
      </w:r>
      <w:r w:rsidRPr="00AC2FE5">
        <w:rPr>
          <w:rFonts w:cs="Times New Roman"/>
          <w:szCs w:val="20"/>
        </w:rPr>
        <w:t>The expected rate of return is recalculated quarterly.</w:t>
      </w:r>
      <w:r w:rsidR="005A72F9">
        <w:rPr>
          <w:rFonts w:cs="Times New Roman"/>
          <w:szCs w:val="20"/>
        </w:rPr>
        <w:t xml:space="preserve"> </w:t>
      </w:r>
      <w:r w:rsidRPr="00AC2FE5">
        <w:rPr>
          <w:rFonts w:cs="Times New Roman"/>
          <w:szCs w:val="20"/>
        </w:rPr>
        <w:t>These forecasts have been developed using the Capital Asset Pricing Model concept, originally developed by Nobel Prize-winning financial economist William Sharpe of Stanford University.</w:t>
      </w:r>
      <w:r w:rsidR="005A72F9">
        <w:rPr>
          <w:rFonts w:cs="Times New Roman"/>
          <w:szCs w:val="20"/>
        </w:rPr>
        <w:t xml:space="preserve"> </w:t>
      </w:r>
      <w:r w:rsidRPr="00AC2FE5">
        <w:rPr>
          <w:rFonts w:cs="Times New Roman"/>
          <w:szCs w:val="20"/>
        </w:rPr>
        <w:t xml:space="preserve">The longest possible time series data have been used, in conjunction with generally accepted investment principles, to arrive at theoretically valid expected returns and standard deviations. (For some asset classes, data </w:t>
      </w:r>
      <w:r w:rsidR="005C091D">
        <w:rPr>
          <w:rFonts w:cs="Times New Roman"/>
          <w:szCs w:val="20"/>
        </w:rPr>
        <w:t>are</w:t>
      </w:r>
      <w:r w:rsidRPr="00AC2FE5">
        <w:rPr>
          <w:rFonts w:cs="Times New Roman"/>
          <w:szCs w:val="20"/>
        </w:rPr>
        <w:t xml:space="preserve"> available as far back as 1926.)</w:t>
      </w:r>
    </w:p>
    <w:p w14:paraId="140B513D" w14:textId="77777777" w:rsidR="00A14625" w:rsidRPr="00AC2FE5" w:rsidRDefault="00A14625">
      <w:pPr>
        <w:rPr>
          <w:rFonts w:cs="Times New Roman"/>
          <w:szCs w:val="20"/>
        </w:rPr>
      </w:pPr>
    </w:p>
    <w:p w14:paraId="11383BF3" w14:textId="77777777" w:rsidR="009172AD" w:rsidRPr="00AC2FE5" w:rsidRDefault="009172AD" w:rsidP="009172AD">
      <w:pPr>
        <w:pStyle w:val="Heading3"/>
      </w:pPr>
      <w:r w:rsidRPr="00AC2FE5">
        <w:t>Standard Deviation</w:t>
      </w:r>
    </w:p>
    <w:p w14:paraId="356081E4" w14:textId="77777777" w:rsidR="009172AD" w:rsidRPr="00AC2FE5" w:rsidRDefault="009172AD">
      <w:pPr>
        <w:rPr>
          <w:rFonts w:cs="Times New Roman"/>
          <w:szCs w:val="20"/>
        </w:rPr>
      </w:pPr>
    </w:p>
    <w:p w14:paraId="5263CC89" w14:textId="77777777" w:rsidR="009172AD" w:rsidRPr="00AC2FE5" w:rsidRDefault="009172AD">
      <w:pPr>
        <w:rPr>
          <w:rFonts w:cs="Times New Roman"/>
          <w:szCs w:val="20"/>
        </w:rPr>
      </w:pPr>
      <w:r w:rsidRPr="00AC2FE5">
        <w:rPr>
          <w:rFonts w:cs="Times New Roman"/>
          <w:szCs w:val="20"/>
        </w:rPr>
        <w:t>The standard deviation is a measure of volatility. In general, the higher the standard deviation, the greater the volatility or risk. An asset class</w:t>
      </w:r>
      <w:r w:rsidR="00232C8D">
        <w:rPr>
          <w:rFonts w:cs="Times New Roman"/>
          <w:szCs w:val="20"/>
        </w:rPr>
        <w:t>’</w:t>
      </w:r>
      <w:r w:rsidRPr="00AC2FE5">
        <w:rPr>
          <w:rFonts w:cs="Times New Roman"/>
          <w:szCs w:val="20"/>
        </w:rPr>
        <w:t xml:space="preserve">s annual total return can be expected to fall within one standard deviation of its expected rate of return roughly two-thirds of the time, and within two standard deviations approximately 95 percent of the time. In other words, an asset class with a one-year standard deviation of </w:t>
      </w:r>
    </w:p>
    <w:p w14:paraId="59AA9343" w14:textId="77777777" w:rsidR="009172AD" w:rsidRPr="00AC2FE5" w:rsidRDefault="009172AD">
      <w:pPr>
        <w:rPr>
          <w:rFonts w:cs="Times New Roman"/>
          <w:szCs w:val="20"/>
        </w:rPr>
      </w:pPr>
      <w:r w:rsidRPr="00AC2FE5">
        <w:rPr>
          <w:rFonts w:cs="Times New Roman"/>
          <w:szCs w:val="20"/>
        </w:rPr>
        <w:t>5 percent and an expected return of 8 percent would be expected to vary between +13 percent and</w:t>
      </w:r>
    </w:p>
    <w:p w14:paraId="7FE055F7" w14:textId="77777777" w:rsidR="009172AD" w:rsidRDefault="009172AD">
      <w:pPr>
        <w:rPr>
          <w:rFonts w:cs="Times New Roman"/>
          <w:szCs w:val="20"/>
        </w:rPr>
      </w:pPr>
      <w:r w:rsidRPr="00AC2FE5">
        <w:rPr>
          <w:rFonts w:cs="Times New Roman"/>
          <w:szCs w:val="20"/>
        </w:rPr>
        <w:t>+3 percent (±5 percent) about 68 percent of the time, and between +18 percent and -2 percent (±10 percent) about 95 percent of the time.</w:t>
      </w:r>
    </w:p>
    <w:p w14:paraId="5C4EE2C2" w14:textId="77777777" w:rsidR="00A14625" w:rsidRPr="00AC2FE5" w:rsidRDefault="00A14625">
      <w:pPr>
        <w:rPr>
          <w:rFonts w:cs="Times New Roman"/>
          <w:szCs w:val="20"/>
        </w:rPr>
      </w:pPr>
    </w:p>
    <w:p w14:paraId="595E1A65" w14:textId="77777777" w:rsidR="009172AD" w:rsidRPr="00AC2FE5" w:rsidRDefault="009172AD" w:rsidP="009172AD">
      <w:pPr>
        <w:pStyle w:val="Heading3"/>
      </w:pPr>
      <w:r w:rsidRPr="00AC2FE5">
        <w:t>Manager Selection for Each Asset Class</w:t>
      </w:r>
    </w:p>
    <w:p w14:paraId="0A278071" w14:textId="77777777" w:rsidR="009172AD" w:rsidRPr="00AC2FE5" w:rsidRDefault="009172AD">
      <w:pPr>
        <w:rPr>
          <w:rFonts w:cs="Times New Roman"/>
          <w:szCs w:val="20"/>
        </w:rPr>
      </w:pPr>
    </w:p>
    <w:p w14:paraId="28772A2C" w14:textId="77777777" w:rsidR="009172AD" w:rsidRPr="00AC2FE5" w:rsidRDefault="009172AD">
      <w:pPr>
        <w:rPr>
          <w:rFonts w:cs="Times New Roman"/>
          <w:szCs w:val="20"/>
        </w:rPr>
      </w:pPr>
      <w:r w:rsidRPr="00AC2FE5">
        <w:rPr>
          <w:rFonts w:cs="Times New Roman"/>
          <w:szCs w:val="20"/>
        </w:rPr>
        <w:t xml:space="preserve">Many investors feel that they could have earned better returns than they did during the last few years. Unfortunately, most investors are using the wrong tools and put themselves at a significant disadvantage to institutional investors. </w:t>
      </w:r>
    </w:p>
    <w:p w14:paraId="7E999985" w14:textId="77777777" w:rsidR="009172AD" w:rsidRPr="00AC2FE5" w:rsidRDefault="009172AD">
      <w:pPr>
        <w:rPr>
          <w:rFonts w:cs="Times New Roman"/>
          <w:szCs w:val="20"/>
        </w:rPr>
      </w:pPr>
    </w:p>
    <w:p w14:paraId="65A384B7" w14:textId="77777777" w:rsidR="009172AD" w:rsidRPr="00AC2FE5" w:rsidRDefault="009172AD">
      <w:pPr>
        <w:rPr>
          <w:rFonts w:cs="Times New Roman"/>
          <w:szCs w:val="20"/>
        </w:rPr>
      </w:pPr>
      <w:r w:rsidRPr="00AC2FE5">
        <w:rPr>
          <w:rFonts w:cs="Times New Roman"/>
          <w:szCs w:val="20"/>
        </w:rPr>
        <w:t>Almost all investors would benefit by using institutional asset classes. An asset class is a group of investments whose risk factor and expected returns are similar.</w:t>
      </w:r>
      <w:r w:rsidR="0042070A">
        <w:rPr>
          <w:rFonts w:cs="Times New Roman"/>
          <w:szCs w:val="20"/>
        </w:rPr>
        <w:t xml:space="preserve"> </w:t>
      </w:r>
      <w:r w:rsidRPr="00AC2FE5">
        <w:rPr>
          <w:rFonts w:cs="Times New Roman"/>
          <w:szCs w:val="20"/>
        </w:rPr>
        <w:t>Originally, institutional asset class funds were not available to individual investors. Often, the minimum investment for these mutual funds was in the millions of dollars, effectively removing them from reach from all but the wealthiest investors. That was their goal because these funds were for institutional accounts, such as large pension plans. Working with our firm provides our investors with access to these institutional asset class funds.</w:t>
      </w:r>
    </w:p>
    <w:p w14:paraId="4D2754FE" w14:textId="77777777" w:rsidR="009172AD" w:rsidRPr="00AC2FE5" w:rsidRDefault="009172AD">
      <w:pPr>
        <w:rPr>
          <w:rFonts w:cs="Times New Roman"/>
          <w:szCs w:val="20"/>
        </w:rPr>
      </w:pPr>
    </w:p>
    <w:p w14:paraId="78F47F6B" w14:textId="77777777" w:rsidR="009172AD" w:rsidRDefault="009172AD">
      <w:pPr>
        <w:rPr>
          <w:rFonts w:cs="Times New Roman"/>
          <w:szCs w:val="20"/>
        </w:rPr>
      </w:pPr>
      <w:r w:rsidRPr="00AC2FE5">
        <w:rPr>
          <w:rFonts w:cs="Times New Roman"/>
          <w:szCs w:val="20"/>
        </w:rPr>
        <w:t xml:space="preserve">There are four major attributes of institutional asset class funds that attract institutional investors: </w:t>
      </w:r>
    </w:p>
    <w:p w14:paraId="40C048E0" w14:textId="77777777" w:rsidR="00336808" w:rsidRDefault="00336808">
      <w:pPr>
        <w:rPr>
          <w:rFonts w:cs="Times New Roman"/>
          <w:szCs w:val="20"/>
          <w:u w:val="single"/>
        </w:rPr>
      </w:pPr>
    </w:p>
    <w:p w14:paraId="2BB89F81" w14:textId="77777777" w:rsidR="009172AD" w:rsidRPr="00AC2FE5" w:rsidRDefault="009172AD">
      <w:pPr>
        <w:rPr>
          <w:rFonts w:cs="Times New Roman"/>
          <w:szCs w:val="20"/>
          <w:u w:val="single"/>
        </w:rPr>
      </w:pPr>
      <w:r w:rsidRPr="00AC2FE5">
        <w:rPr>
          <w:rFonts w:cs="Times New Roman"/>
          <w:szCs w:val="20"/>
          <w:u w:val="single"/>
        </w:rPr>
        <w:t>1. Lower Operating Expenses</w:t>
      </w:r>
    </w:p>
    <w:p w14:paraId="64CBE171" w14:textId="77777777" w:rsidR="009172AD" w:rsidRPr="00AC2FE5" w:rsidRDefault="009172AD">
      <w:pPr>
        <w:rPr>
          <w:rFonts w:cs="Times New Roman"/>
          <w:szCs w:val="20"/>
        </w:rPr>
      </w:pPr>
    </w:p>
    <w:p w14:paraId="7C94941F" w14:textId="7A531A3D" w:rsidR="009172AD" w:rsidRPr="00624140" w:rsidRDefault="009172AD">
      <w:pPr>
        <w:rPr>
          <w:rFonts w:cs="Times New Roman"/>
          <w:szCs w:val="20"/>
        </w:rPr>
      </w:pPr>
      <w:r w:rsidRPr="00C52F92">
        <w:rPr>
          <w:rFonts w:cs="Times New Roman"/>
          <w:szCs w:val="20"/>
        </w:rPr>
        <w:t>All mutual funds</w:t>
      </w:r>
      <w:r w:rsidR="0042070A" w:rsidRPr="00C52F92">
        <w:rPr>
          <w:rFonts w:cs="Times New Roman"/>
          <w:szCs w:val="20"/>
        </w:rPr>
        <w:t>, ETFs</w:t>
      </w:r>
      <w:r w:rsidRPr="00C52F92">
        <w:rPr>
          <w:rFonts w:cs="Times New Roman"/>
          <w:szCs w:val="20"/>
        </w:rPr>
        <w:t xml:space="preserve"> and separately managed accounts have expenses that include management fees, administrator charges and custody fees. These are expressed as a percentage of assets. The average annual expense ratio for all equity mutual funds </w:t>
      </w:r>
      <w:r w:rsidR="009D6ABB" w:rsidRPr="00C52F92">
        <w:rPr>
          <w:rFonts w:cs="Times New Roman"/>
          <w:szCs w:val="20"/>
        </w:rPr>
        <w:t>was .</w:t>
      </w:r>
      <w:r w:rsidR="002455AD" w:rsidRPr="00C52F92">
        <w:rPr>
          <w:rFonts w:cs="Times New Roman"/>
          <w:szCs w:val="20"/>
        </w:rPr>
        <w:t>5</w:t>
      </w:r>
      <w:r w:rsidR="00EC4A50" w:rsidRPr="00C52F92">
        <w:rPr>
          <w:rFonts w:cs="Times New Roman"/>
          <w:szCs w:val="20"/>
        </w:rPr>
        <w:t>2</w:t>
      </w:r>
      <w:r w:rsidRPr="00C52F92">
        <w:rPr>
          <w:rFonts w:cs="Times New Roman"/>
          <w:szCs w:val="20"/>
        </w:rPr>
        <w:t xml:space="preserve"> percent</w:t>
      </w:r>
      <w:r w:rsidR="00571083" w:rsidRPr="00C52F92">
        <w:rPr>
          <w:rFonts w:cs="Times New Roman"/>
          <w:szCs w:val="20"/>
        </w:rPr>
        <w:t xml:space="preserve"> in 201</w:t>
      </w:r>
      <w:r w:rsidR="00EC4A50" w:rsidRPr="00C52F92">
        <w:rPr>
          <w:rFonts w:cs="Times New Roman"/>
          <w:szCs w:val="20"/>
        </w:rPr>
        <w:t>9</w:t>
      </w:r>
      <w:r w:rsidRPr="00C52F92">
        <w:rPr>
          <w:rFonts w:cs="Times New Roman"/>
          <w:szCs w:val="20"/>
        </w:rPr>
        <w:t>.</w:t>
      </w:r>
      <w:r w:rsidR="00D06BCB" w:rsidRPr="00C52F92">
        <w:rPr>
          <w:rStyle w:val="FootnoteReference"/>
          <w:rFonts w:cs="Times New Roman"/>
          <w:szCs w:val="20"/>
        </w:rPr>
        <w:footnoteReference w:id="18"/>
      </w:r>
      <w:r w:rsidRPr="00C52F92">
        <w:rPr>
          <w:rFonts w:cs="Times New Roman"/>
          <w:szCs w:val="20"/>
        </w:rPr>
        <w:t xml:space="preserve"> In comparison</w:t>
      </w:r>
      <w:r w:rsidR="00D06BCB" w:rsidRPr="00C52F92">
        <w:rPr>
          <w:rFonts w:cs="Times New Roman"/>
          <w:szCs w:val="20"/>
        </w:rPr>
        <w:t xml:space="preserve">, the same ratio for </w:t>
      </w:r>
      <w:r w:rsidR="008F1233" w:rsidRPr="00C52F92">
        <w:rPr>
          <w:rFonts w:cs="Times New Roman"/>
          <w:szCs w:val="20"/>
        </w:rPr>
        <w:t xml:space="preserve">equity </w:t>
      </w:r>
      <w:r w:rsidR="0042070A" w:rsidRPr="00C52F92">
        <w:rPr>
          <w:rFonts w:cs="Times New Roman"/>
          <w:szCs w:val="20"/>
        </w:rPr>
        <w:t>ETFs</w:t>
      </w:r>
      <w:r w:rsidR="00624140" w:rsidRPr="00C52F92">
        <w:rPr>
          <w:rFonts w:cs="Times New Roman"/>
          <w:szCs w:val="20"/>
        </w:rPr>
        <w:t xml:space="preserve"> was .</w:t>
      </w:r>
      <w:r w:rsidR="00C52F92" w:rsidRPr="00C52F92">
        <w:rPr>
          <w:rFonts w:cs="Times New Roman"/>
          <w:szCs w:val="20"/>
        </w:rPr>
        <w:t>18</w:t>
      </w:r>
      <w:r w:rsidR="00D06BCB" w:rsidRPr="00C52F92">
        <w:rPr>
          <w:rFonts w:cs="Times New Roman"/>
          <w:szCs w:val="20"/>
        </w:rPr>
        <w:t xml:space="preserve"> percent.</w:t>
      </w:r>
      <w:r w:rsidR="00215DC1" w:rsidRPr="00C52F92">
        <w:rPr>
          <w:rStyle w:val="FootnoteReference"/>
          <w:rFonts w:cs="Times New Roman"/>
          <w:szCs w:val="20"/>
        </w:rPr>
        <w:footnoteReference w:id="19"/>
      </w:r>
      <w:r w:rsidRPr="00C52F92">
        <w:rPr>
          <w:rFonts w:cs="Times New Roman"/>
          <w:szCs w:val="20"/>
        </w:rPr>
        <w:t xml:space="preserve"> All other factors being equal, lower costs lead to higher rates of return.</w:t>
      </w:r>
      <w:r w:rsidRPr="00624140">
        <w:rPr>
          <w:rFonts w:cs="Times New Roman"/>
          <w:szCs w:val="20"/>
        </w:rPr>
        <w:t xml:space="preserve"> </w:t>
      </w:r>
    </w:p>
    <w:p w14:paraId="6B0374ED" w14:textId="77777777" w:rsidR="009172AD" w:rsidRPr="00877715" w:rsidRDefault="009172AD">
      <w:pPr>
        <w:rPr>
          <w:rFonts w:cs="Times New Roman"/>
          <w:szCs w:val="20"/>
          <w:highlight w:val="yellow"/>
        </w:rPr>
      </w:pPr>
    </w:p>
    <w:p w14:paraId="7EA9981D" w14:textId="77777777" w:rsidR="009172AD" w:rsidRPr="009D6ABB" w:rsidRDefault="009172AD">
      <w:pPr>
        <w:rPr>
          <w:rFonts w:cs="Times New Roman"/>
          <w:szCs w:val="20"/>
          <w:u w:val="single"/>
        </w:rPr>
      </w:pPr>
      <w:r w:rsidRPr="009D6ABB">
        <w:rPr>
          <w:rFonts w:cs="Times New Roman"/>
          <w:szCs w:val="20"/>
          <w:u w:val="single"/>
        </w:rPr>
        <w:lastRenderedPageBreak/>
        <w:t>2. Lower Turnover Resulting in Lower Cost</w:t>
      </w:r>
    </w:p>
    <w:p w14:paraId="4B3D7FA7" w14:textId="77777777" w:rsidR="009172AD" w:rsidRPr="009D6ABB" w:rsidRDefault="009172AD">
      <w:pPr>
        <w:rPr>
          <w:rFonts w:cs="Times New Roman"/>
          <w:szCs w:val="20"/>
        </w:rPr>
      </w:pPr>
    </w:p>
    <w:p w14:paraId="115711E5" w14:textId="3EF6A45D" w:rsidR="009172AD" w:rsidRPr="00AC2FE5" w:rsidRDefault="009172AD">
      <w:pPr>
        <w:rPr>
          <w:rFonts w:cs="Times New Roman"/>
          <w:szCs w:val="20"/>
        </w:rPr>
      </w:pPr>
      <w:r w:rsidRPr="00EC4A50">
        <w:rPr>
          <w:rFonts w:cs="Times New Roman"/>
          <w:szCs w:val="20"/>
        </w:rPr>
        <w:t xml:space="preserve">Most investment managers do a substantial amount of trading, believing that this adds value. </w:t>
      </w:r>
      <w:r w:rsidR="009D6ABB" w:rsidRPr="00EC4A50">
        <w:rPr>
          <w:rFonts w:cs="Times New Roman"/>
          <w:szCs w:val="20"/>
        </w:rPr>
        <w:t>In 201</w:t>
      </w:r>
      <w:r w:rsidR="00AF3457" w:rsidRPr="00EC4A50">
        <w:rPr>
          <w:rFonts w:cs="Times New Roman"/>
          <w:szCs w:val="20"/>
        </w:rPr>
        <w:t>9</w:t>
      </w:r>
      <w:r w:rsidR="00571083" w:rsidRPr="00EC4A50">
        <w:rPr>
          <w:rFonts w:cs="Times New Roman"/>
          <w:szCs w:val="20"/>
        </w:rPr>
        <w:t>, t</w:t>
      </w:r>
      <w:r w:rsidRPr="00EC4A50">
        <w:rPr>
          <w:rFonts w:cs="Times New Roman"/>
          <w:szCs w:val="20"/>
        </w:rPr>
        <w:t xml:space="preserve">he average </w:t>
      </w:r>
      <w:r w:rsidR="006E4A08" w:rsidRPr="00EC4A50">
        <w:rPr>
          <w:rFonts w:cs="Times New Roman"/>
          <w:szCs w:val="20"/>
        </w:rPr>
        <w:t>turnover rate experienced by investors in equity mut</w:t>
      </w:r>
      <w:r w:rsidR="00571083" w:rsidRPr="00EC4A50">
        <w:rPr>
          <w:rFonts w:cs="Times New Roman"/>
          <w:szCs w:val="20"/>
        </w:rPr>
        <w:t xml:space="preserve">ual funds was </w:t>
      </w:r>
      <w:r w:rsidR="00AF3457" w:rsidRPr="00EC4A50">
        <w:rPr>
          <w:rFonts w:cs="Times New Roman"/>
          <w:szCs w:val="20"/>
        </w:rPr>
        <w:t>28</w:t>
      </w:r>
      <w:r w:rsidR="00571083" w:rsidRPr="00EC4A50">
        <w:rPr>
          <w:rFonts w:cs="Times New Roman"/>
          <w:szCs w:val="20"/>
        </w:rPr>
        <w:t xml:space="preserve"> percent</w:t>
      </w:r>
      <w:r w:rsidR="006E4A08" w:rsidRPr="00EC4A50">
        <w:rPr>
          <w:rFonts w:cs="Times New Roman"/>
          <w:szCs w:val="20"/>
        </w:rPr>
        <w:t>.</w:t>
      </w:r>
      <w:r w:rsidRPr="00EC4A50">
        <w:rPr>
          <w:rStyle w:val="FootnoteReference"/>
          <w:rFonts w:cs="Times New Roman"/>
          <w:szCs w:val="20"/>
        </w:rPr>
        <w:footnoteReference w:id="20"/>
      </w:r>
      <w:r w:rsidRPr="00EC4A50">
        <w:rPr>
          <w:rFonts w:cs="Times New Roman"/>
          <w:szCs w:val="20"/>
        </w:rPr>
        <w:t xml:space="preserve"> This means that, on average, </w:t>
      </w:r>
      <w:r w:rsidR="00AF3457" w:rsidRPr="00EC4A50">
        <w:rPr>
          <w:rFonts w:cs="Times New Roman"/>
          <w:szCs w:val="20"/>
        </w:rPr>
        <w:t>28</w:t>
      </w:r>
      <w:r w:rsidRPr="00EC4A50">
        <w:rPr>
          <w:rFonts w:cs="Times New Roman"/>
          <w:szCs w:val="20"/>
        </w:rPr>
        <w:t xml:space="preserve"> percent of the securities in the portfolio </w:t>
      </w:r>
      <w:r w:rsidR="006E4A08" w:rsidRPr="00EC4A50">
        <w:rPr>
          <w:rFonts w:cs="Times New Roman"/>
          <w:szCs w:val="20"/>
        </w:rPr>
        <w:t>were</w:t>
      </w:r>
      <w:r w:rsidRPr="00EC4A50">
        <w:rPr>
          <w:rFonts w:cs="Times New Roman"/>
          <w:szCs w:val="20"/>
        </w:rPr>
        <w:t xml:space="preserve"> traded over </w:t>
      </w:r>
      <w:r w:rsidR="006E4A08" w:rsidRPr="00EC4A50">
        <w:rPr>
          <w:rFonts w:cs="Times New Roman"/>
          <w:szCs w:val="20"/>
        </w:rPr>
        <w:t>that</w:t>
      </w:r>
      <w:r w:rsidRPr="00EC4A50">
        <w:rPr>
          <w:rFonts w:cs="Times New Roman"/>
          <w:szCs w:val="20"/>
        </w:rPr>
        <w:t xml:space="preserve"> 12-month period. This represents </w:t>
      </w:r>
      <w:r w:rsidR="0093351E" w:rsidRPr="00EC4A50">
        <w:rPr>
          <w:rFonts w:cs="Times New Roman"/>
          <w:szCs w:val="20"/>
        </w:rPr>
        <w:t xml:space="preserve">approximately </w:t>
      </w:r>
      <w:r w:rsidRPr="00EC4A50">
        <w:rPr>
          <w:rFonts w:cs="Times New Roman"/>
          <w:szCs w:val="20"/>
        </w:rPr>
        <w:t>$</w:t>
      </w:r>
      <w:r w:rsidR="00AF3457" w:rsidRPr="00EC4A50">
        <w:rPr>
          <w:rFonts w:cs="Times New Roman"/>
          <w:szCs w:val="20"/>
        </w:rPr>
        <w:t>28</w:t>
      </w:r>
      <w:r w:rsidR="006E4A08" w:rsidRPr="00EC4A50">
        <w:rPr>
          <w:rFonts w:cs="Times New Roman"/>
          <w:szCs w:val="20"/>
        </w:rPr>
        <w:t>0</w:t>
      </w:r>
      <w:r w:rsidRPr="00EC4A50">
        <w:rPr>
          <w:rFonts w:cs="Times New Roman"/>
          <w:szCs w:val="20"/>
        </w:rPr>
        <w:t>,000 of traded securities for every $1,000,000 invested.</w:t>
      </w:r>
    </w:p>
    <w:p w14:paraId="54564B11" w14:textId="77777777" w:rsidR="009172AD" w:rsidRPr="00AC2FE5" w:rsidRDefault="009172AD">
      <w:pPr>
        <w:rPr>
          <w:rFonts w:cs="Times New Roman"/>
          <w:szCs w:val="20"/>
        </w:rPr>
      </w:pPr>
    </w:p>
    <w:p w14:paraId="0D8AB2F4" w14:textId="77777777" w:rsidR="009172AD" w:rsidRPr="00AC2FE5" w:rsidRDefault="009172AD">
      <w:pPr>
        <w:rPr>
          <w:rFonts w:cs="Times New Roman"/>
          <w:szCs w:val="20"/>
        </w:rPr>
      </w:pPr>
      <w:r w:rsidRPr="00AC2FE5">
        <w:rPr>
          <w:rFonts w:cs="Times New Roman"/>
          <w:szCs w:val="20"/>
        </w:rPr>
        <w:t>High turnover is costly to shareholders because each time a trade is made there are transaction costs, including commissions, spreads and market-impact costs. These hidden costs may amount to more than a fund</w:t>
      </w:r>
      <w:r w:rsidR="00232C8D">
        <w:rPr>
          <w:rFonts w:cs="Times New Roman"/>
          <w:szCs w:val="20"/>
        </w:rPr>
        <w:t>’</w:t>
      </w:r>
      <w:r w:rsidRPr="00AC2FE5">
        <w:rPr>
          <w:rFonts w:cs="Times New Roman"/>
          <w:szCs w:val="20"/>
        </w:rPr>
        <w:t>s total operating expenses if the fund trades heavily or if it invests in small company stocks whose trading costs are very high.</w:t>
      </w:r>
    </w:p>
    <w:p w14:paraId="1D000413" w14:textId="77777777" w:rsidR="009172AD" w:rsidRPr="00AC2FE5" w:rsidRDefault="009172AD">
      <w:pPr>
        <w:rPr>
          <w:rFonts w:cs="Times New Roman"/>
          <w:szCs w:val="20"/>
        </w:rPr>
      </w:pPr>
    </w:p>
    <w:p w14:paraId="24A900AE" w14:textId="77777777" w:rsidR="009172AD" w:rsidRPr="00AC2FE5" w:rsidRDefault="009172AD">
      <w:pPr>
        <w:rPr>
          <w:rFonts w:cs="Times New Roman"/>
          <w:szCs w:val="20"/>
        </w:rPr>
      </w:pPr>
      <w:r w:rsidRPr="00AC2FE5">
        <w:rPr>
          <w:rFonts w:cs="Times New Roman"/>
          <w:szCs w:val="20"/>
        </w:rPr>
        <w:t>Institutional asset class funds have significantly lower turnover because their institutional investors want them to deliver a specific asset class return with as low cost as possible</w:t>
      </w:r>
      <w:r w:rsidR="0042070A">
        <w:rPr>
          <w:rFonts w:cs="Times New Roman"/>
          <w:szCs w:val="20"/>
        </w:rPr>
        <w:t xml:space="preserve">, versus </w:t>
      </w:r>
      <w:r w:rsidR="00232C8D">
        <w:rPr>
          <w:rFonts w:cs="Times New Roman"/>
          <w:szCs w:val="20"/>
        </w:rPr>
        <w:t>“</w:t>
      </w:r>
      <w:r w:rsidR="0042070A">
        <w:rPr>
          <w:rFonts w:cs="Times New Roman"/>
          <w:szCs w:val="20"/>
        </w:rPr>
        <w:t>beating the market</w:t>
      </w:r>
      <w:r w:rsidR="00232C8D">
        <w:rPr>
          <w:rFonts w:cs="Times New Roman"/>
          <w:szCs w:val="20"/>
        </w:rPr>
        <w:t>”</w:t>
      </w:r>
      <w:r w:rsidR="0042070A">
        <w:rPr>
          <w:rFonts w:cs="Times New Roman"/>
          <w:szCs w:val="20"/>
        </w:rPr>
        <w:t xml:space="preserve"> through research, market timing, or tracking a specific index which must be reconstituted periodically.</w:t>
      </w:r>
    </w:p>
    <w:p w14:paraId="028BDA66" w14:textId="77777777" w:rsidR="009172AD" w:rsidRPr="00AC2FE5" w:rsidRDefault="009172AD">
      <w:pPr>
        <w:rPr>
          <w:rFonts w:cs="Times New Roman"/>
          <w:szCs w:val="20"/>
        </w:rPr>
      </w:pPr>
    </w:p>
    <w:p w14:paraId="4A461D99" w14:textId="77777777" w:rsidR="009172AD" w:rsidRPr="00AC2FE5" w:rsidRDefault="009172AD">
      <w:pPr>
        <w:rPr>
          <w:rFonts w:cs="Times New Roman"/>
          <w:szCs w:val="20"/>
          <w:u w:val="single"/>
        </w:rPr>
      </w:pPr>
      <w:r w:rsidRPr="00AC2FE5">
        <w:rPr>
          <w:rFonts w:cs="Times New Roman"/>
          <w:szCs w:val="20"/>
          <w:u w:val="single"/>
        </w:rPr>
        <w:t>3. Lower Turnover Resulting in Lower Taxes</w:t>
      </w:r>
    </w:p>
    <w:p w14:paraId="7EEA464E" w14:textId="77777777" w:rsidR="009172AD" w:rsidRPr="00AC2FE5" w:rsidRDefault="009172AD">
      <w:pPr>
        <w:rPr>
          <w:rFonts w:cs="Times New Roman"/>
          <w:szCs w:val="20"/>
        </w:rPr>
      </w:pPr>
    </w:p>
    <w:p w14:paraId="7C98195D" w14:textId="77777777" w:rsidR="009172AD" w:rsidRPr="00AC2FE5" w:rsidRDefault="009172AD">
      <w:pPr>
        <w:rPr>
          <w:rFonts w:cs="Times New Roman"/>
          <w:szCs w:val="20"/>
        </w:rPr>
      </w:pPr>
      <w:r w:rsidRPr="00AC2FE5">
        <w:rPr>
          <w:rFonts w:cs="Times New Roman"/>
          <w:szCs w:val="20"/>
        </w:rPr>
        <w:t>If a mutual fund sells a security for a gain, it must make a capital gains distribution to shareholders because mutual funds are required to distribute 98 percent of their taxable income each year, including realized gains to state tax-exemption at the corporate level. They distribute all their income annually because no mutual fund manager wants to have his or her performance reduced by paying corporate income taxes.</w:t>
      </w:r>
    </w:p>
    <w:p w14:paraId="72120EE0" w14:textId="77777777" w:rsidR="009172AD" w:rsidRPr="00AC2FE5" w:rsidRDefault="009172AD">
      <w:pPr>
        <w:rPr>
          <w:rFonts w:cs="Times New Roman"/>
          <w:szCs w:val="20"/>
        </w:rPr>
      </w:pPr>
    </w:p>
    <w:p w14:paraId="39D19E96" w14:textId="77777777" w:rsidR="009172AD" w:rsidRDefault="009172AD">
      <w:pPr>
        <w:rPr>
          <w:rFonts w:cs="Times New Roman"/>
          <w:szCs w:val="20"/>
        </w:rPr>
      </w:pPr>
      <w:r w:rsidRPr="00AC2FE5">
        <w:rPr>
          <w:rFonts w:cs="Times New Roman"/>
          <w:szCs w:val="20"/>
        </w:rPr>
        <w:t>In one study, Stanford University economist John B. Shoven and Joel M. Dickson</w:t>
      </w:r>
      <w:r w:rsidRPr="00AC2FE5">
        <w:rPr>
          <w:rStyle w:val="FootnoteReference"/>
          <w:rFonts w:cs="Times New Roman"/>
          <w:szCs w:val="20"/>
        </w:rPr>
        <w:footnoteReference w:id="21"/>
      </w:r>
      <w:r w:rsidRPr="00AC2FE5">
        <w:rPr>
          <w:rFonts w:cs="Times New Roman"/>
          <w:szCs w:val="20"/>
        </w:rPr>
        <w:t xml:space="preserve"> found that taxable distributions have a negative effect on the rate of return of many well-known retail equity mutual funds. They found that a high-tax-bracket investor who reinvested the after-tax distribution ended up with an accumulated wealth per dollar invested of only 45 percent of the fund</w:t>
      </w:r>
      <w:r w:rsidR="00232C8D">
        <w:rPr>
          <w:rFonts w:cs="Times New Roman"/>
          <w:szCs w:val="20"/>
        </w:rPr>
        <w:t>’</w:t>
      </w:r>
      <w:r w:rsidRPr="00AC2FE5">
        <w:rPr>
          <w:rFonts w:cs="Times New Roman"/>
          <w:szCs w:val="20"/>
        </w:rPr>
        <w:t>s published performance. An investor in the middle tax bracket realized just 55 percent of the published performance.</w:t>
      </w:r>
      <w:r w:rsidR="002B393E">
        <w:rPr>
          <w:rFonts w:cs="Times New Roman"/>
          <w:szCs w:val="20"/>
        </w:rPr>
        <w:t xml:space="preserve"> </w:t>
      </w:r>
      <w:r w:rsidRPr="00AC2FE5">
        <w:rPr>
          <w:rFonts w:cs="Times New Roman"/>
          <w:szCs w:val="20"/>
        </w:rPr>
        <w:t>Because institutio</w:t>
      </w:r>
      <w:r>
        <w:rPr>
          <w:rFonts w:cs="Times New Roman"/>
          <w:szCs w:val="20"/>
        </w:rPr>
        <w:t xml:space="preserve">nal asset class funds have less </w:t>
      </w:r>
      <w:r w:rsidRPr="00AC2FE5">
        <w:rPr>
          <w:rFonts w:cs="Times New Roman"/>
          <w:szCs w:val="20"/>
        </w:rPr>
        <w:t>turnover, they often have significantly lower tax.</w:t>
      </w:r>
    </w:p>
    <w:p w14:paraId="39BDBA08" w14:textId="77777777" w:rsidR="0042070A" w:rsidRDefault="0042070A">
      <w:pPr>
        <w:rPr>
          <w:rFonts w:cs="Times New Roman"/>
          <w:szCs w:val="20"/>
        </w:rPr>
      </w:pPr>
    </w:p>
    <w:p w14:paraId="3E96A112" w14:textId="77777777" w:rsidR="0042070A" w:rsidRPr="00AC2FE5" w:rsidRDefault="0042070A">
      <w:pPr>
        <w:rPr>
          <w:rFonts w:cs="Times New Roman"/>
          <w:szCs w:val="20"/>
        </w:rPr>
      </w:pPr>
      <w:r>
        <w:rPr>
          <w:rFonts w:cs="Times New Roman"/>
          <w:szCs w:val="20"/>
        </w:rPr>
        <w:t>Exchange</w:t>
      </w:r>
      <w:r w:rsidR="007E7962">
        <w:rPr>
          <w:rFonts w:cs="Times New Roman"/>
          <w:szCs w:val="20"/>
        </w:rPr>
        <w:t>-t</w:t>
      </w:r>
      <w:r>
        <w:rPr>
          <w:rFonts w:cs="Times New Roman"/>
          <w:szCs w:val="20"/>
        </w:rPr>
        <w:t xml:space="preserve">raded </w:t>
      </w:r>
      <w:r w:rsidR="007E7962">
        <w:rPr>
          <w:rFonts w:cs="Times New Roman"/>
          <w:szCs w:val="20"/>
        </w:rPr>
        <w:t>f</w:t>
      </w:r>
      <w:r>
        <w:rPr>
          <w:rFonts w:cs="Times New Roman"/>
          <w:szCs w:val="20"/>
        </w:rPr>
        <w:t xml:space="preserve">unds, on the other hand, employ a specific and unique feature which allows them to perform </w:t>
      </w:r>
      <w:r w:rsidR="00232C8D">
        <w:rPr>
          <w:rFonts w:cs="Times New Roman"/>
          <w:szCs w:val="20"/>
        </w:rPr>
        <w:t>“</w:t>
      </w:r>
      <w:r>
        <w:rPr>
          <w:rFonts w:cs="Times New Roman"/>
          <w:szCs w:val="20"/>
        </w:rPr>
        <w:t>like kind exchanges</w:t>
      </w:r>
      <w:r w:rsidR="00232C8D">
        <w:rPr>
          <w:rFonts w:cs="Times New Roman"/>
          <w:szCs w:val="20"/>
        </w:rPr>
        <w:t>”</w:t>
      </w:r>
      <w:r>
        <w:rPr>
          <w:rFonts w:cs="Times New Roman"/>
          <w:szCs w:val="20"/>
        </w:rPr>
        <w:t xml:space="preserve"> when they must change the holdings within the ETF. A</w:t>
      </w:r>
      <w:r w:rsidR="001C42AD">
        <w:rPr>
          <w:rFonts w:cs="Times New Roman"/>
          <w:szCs w:val="20"/>
        </w:rPr>
        <w:t>s a result, they typically make far fewer capital gains distributions than mutual funds.</w:t>
      </w:r>
    </w:p>
    <w:p w14:paraId="33ADF30D" w14:textId="77777777" w:rsidR="007F1417" w:rsidRPr="00AC2FE5" w:rsidRDefault="007F1417">
      <w:pPr>
        <w:rPr>
          <w:rFonts w:cs="Times New Roman"/>
          <w:szCs w:val="20"/>
        </w:rPr>
      </w:pPr>
    </w:p>
    <w:p w14:paraId="33520673" w14:textId="77777777" w:rsidR="009172AD" w:rsidRPr="00AC2FE5" w:rsidRDefault="009172AD">
      <w:pPr>
        <w:rPr>
          <w:rFonts w:cs="Times New Roman"/>
          <w:szCs w:val="20"/>
          <w:u w:val="single"/>
        </w:rPr>
      </w:pPr>
      <w:r w:rsidRPr="00AC2FE5">
        <w:rPr>
          <w:rFonts w:cs="Times New Roman"/>
          <w:szCs w:val="20"/>
          <w:u w:val="single"/>
        </w:rPr>
        <w:t>4. Consistently Maintained Market Segments</w:t>
      </w:r>
    </w:p>
    <w:p w14:paraId="6CCE439D" w14:textId="77777777" w:rsidR="009172AD" w:rsidRPr="00AC2FE5" w:rsidRDefault="009172AD">
      <w:pPr>
        <w:rPr>
          <w:rFonts w:cs="Times New Roman"/>
          <w:szCs w:val="20"/>
        </w:rPr>
      </w:pPr>
    </w:p>
    <w:p w14:paraId="4004D612" w14:textId="14DFC7F9" w:rsidR="00AE41F0" w:rsidRDefault="009172AD">
      <w:pPr>
        <w:rPr>
          <w:rFonts w:cs="Times New Roman"/>
          <w:szCs w:val="20"/>
        </w:rPr>
      </w:pPr>
      <w:r w:rsidRPr="00AC2FE5">
        <w:rPr>
          <w:rFonts w:cs="Times New Roman"/>
          <w:szCs w:val="20"/>
        </w:rPr>
        <w:t>Most investment advisors agree that the largest determination of performance is asset allocation—how your money is divided among different asset categories.</w:t>
      </w:r>
      <w:r w:rsidR="005A72F9">
        <w:rPr>
          <w:rFonts w:cs="Times New Roman"/>
          <w:szCs w:val="20"/>
        </w:rPr>
        <w:t xml:space="preserve"> </w:t>
      </w:r>
      <w:r w:rsidRPr="00AC2FE5">
        <w:rPr>
          <w:rFonts w:cs="Times New Roman"/>
          <w:szCs w:val="20"/>
        </w:rPr>
        <w:t>However, you can only accomplish effective asset allocation if your investments in your portfolio maintain consistent asset allocation. That means your funds need to stay within their target asset classes. Unfortunately, most retail funds effectively have you relinquish control of your asset allocation as they overweight particular parts of the market in their quest to achieve higher rates of return than the market as a whole.</w:t>
      </w:r>
      <w:r w:rsidR="005A72F9">
        <w:rPr>
          <w:rFonts w:cs="Times New Roman"/>
          <w:szCs w:val="20"/>
        </w:rPr>
        <w:t xml:space="preserve"> </w:t>
      </w:r>
      <w:r w:rsidRPr="00AC2FE5">
        <w:rPr>
          <w:rFonts w:cs="Times New Roman"/>
          <w:szCs w:val="20"/>
        </w:rPr>
        <w:t>In contrast, because of their investment mand</w:t>
      </w:r>
      <w:r w:rsidR="003D42A5">
        <w:rPr>
          <w:rFonts w:cs="Times New Roman"/>
          <w:szCs w:val="20"/>
        </w:rPr>
        <w:t xml:space="preserve">ates, institutional asset class funds and ETFs </w:t>
      </w:r>
      <w:r w:rsidRPr="00AC2FE5">
        <w:rPr>
          <w:rFonts w:cs="Times New Roman"/>
          <w:szCs w:val="20"/>
        </w:rPr>
        <w:t>must stay fully invested in the specific asset class they represent.</w:t>
      </w:r>
    </w:p>
    <w:p w14:paraId="68076243" w14:textId="77777777" w:rsidR="006A3690" w:rsidRDefault="006A3690">
      <w:pPr>
        <w:rPr>
          <w:rFonts w:cs="Times New Roman"/>
          <w:szCs w:val="20"/>
        </w:rPr>
      </w:pPr>
    </w:p>
    <w:p w14:paraId="14954A15" w14:textId="77777777" w:rsidR="009172AD" w:rsidRPr="00AC2FE5" w:rsidRDefault="009172AD" w:rsidP="00AE41F0">
      <w:pPr>
        <w:pStyle w:val="Heading1"/>
      </w:pPr>
      <w:bookmarkStart w:id="6" w:name="_Toc412470194"/>
      <w:r w:rsidRPr="00AC2FE5">
        <w:t>Strategic Portfolio Management Process</w:t>
      </w:r>
      <w:bookmarkEnd w:id="6"/>
    </w:p>
    <w:p w14:paraId="3E47BD6E" w14:textId="77777777" w:rsidR="009172AD" w:rsidRPr="00AC2FE5" w:rsidRDefault="009172AD">
      <w:pPr>
        <w:rPr>
          <w:rFonts w:cs="Times New Roman"/>
          <w:szCs w:val="20"/>
        </w:rPr>
      </w:pPr>
    </w:p>
    <w:p w14:paraId="613AE878" w14:textId="77777777" w:rsidR="009172AD" w:rsidRDefault="009172AD">
      <w:pPr>
        <w:tabs>
          <w:tab w:val="left" w:pos="1260"/>
          <w:tab w:val="right" w:pos="2340"/>
          <w:tab w:val="left" w:pos="3240"/>
          <w:tab w:val="right" w:pos="4320"/>
          <w:tab w:val="right" w:pos="6390"/>
          <w:tab w:val="right" w:pos="8010"/>
        </w:tabs>
        <w:rPr>
          <w:rFonts w:cs="Times New Roman"/>
          <w:szCs w:val="20"/>
        </w:rPr>
      </w:pPr>
      <w:r w:rsidRPr="00AC2FE5">
        <w:rPr>
          <w:rFonts w:cs="Times New Roman"/>
          <w:szCs w:val="20"/>
        </w:rPr>
        <w:t xml:space="preserve">The financial goals and values you shared with us at our Discovery Meeting have become the basis for your investment plan, as well as our Strategic Portfolio Management Process. This is not a one-time event, however. The Strategic Portfolio Management Process that we use is constantly ongoing to ensure that we are on track to achieve those goals and values. It is vital in managing the investment component of your overall wealth management plan. The process has four distinct parts, as illustrated below. </w:t>
      </w:r>
    </w:p>
    <w:p w14:paraId="2BF536AF" w14:textId="77777777" w:rsidR="00782AA1" w:rsidRDefault="00782AA1">
      <w:pPr>
        <w:tabs>
          <w:tab w:val="left" w:pos="1260"/>
          <w:tab w:val="right" w:pos="2340"/>
          <w:tab w:val="left" w:pos="3240"/>
          <w:tab w:val="right" w:pos="4320"/>
          <w:tab w:val="right" w:pos="6390"/>
          <w:tab w:val="right" w:pos="8010"/>
        </w:tabs>
        <w:jc w:val="both"/>
        <w:rPr>
          <w:rFonts w:cs="Times New Roman"/>
          <w:szCs w:val="20"/>
        </w:rPr>
      </w:pPr>
    </w:p>
    <w:p w14:paraId="793FB169" w14:textId="77777777" w:rsidR="007F1417" w:rsidRDefault="00132B81" w:rsidP="00FB5074">
      <w:pPr>
        <w:tabs>
          <w:tab w:val="left" w:pos="1260"/>
          <w:tab w:val="right" w:pos="2340"/>
          <w:tab w:val="left" w:pos="3240"/>
          <w:tab w:val="right" w:pos="4320"/>
          <w:tab w:val="right" w:pos="6390"/>
          <w:tab w:val="right" w:pos="8010"/>
        </w:tabs>
        <w:jc w:val="center"/>
        <w:rPr>
          <w:rFonts w:cs="Times New Roman"/>
          <w:szCs w:val="20"/>
        </w:rPr>
      </w:pPr>
      <w:r>
        <w:rPr>
          <w:noProof/>
        </w:rPr>
        <w:pict w14:anchorId="5E58B928">
          <v:shape id="_x0000_i1033" type="#_x0000_t75" style="width:302.4pt;height:229.8pt;visibility:visible">
            <v:imagedata r:id="rId18" o:title=""/>
          </v:shape>
        </w:pict>
      </w:r>
    </w:p>
    <w:p w14:paraId="1B86012F" w14:textId="77777777" w:rsidR="009172AD" w:rsidRPr="00AC2FE5" w:rsidRDefault="009172AD" w:rsidP="009172AD">
      <w:pPr>
        <w:pStyle w:val="Heading2"/>
      </w:pPr>
      <w:bookmarkStart w:id="7" w:name="_Toc412470195"/>
      <w:r w:rsidRPr="00AC2FE5">
        <w:t>Gap Analysis</w:t>
      </w:r>
      <w:bookmarkEnd w:id="7"/>
    </w:p>
    <w:p w14:paraId="7EE81B3F" w14:textId="77777777" w:rsidR="009172AD" w:rsidRPr="00AC2FE5" w:rsidRDefault="009172AD">
      <w:pPr>
        <w:rPr>
          <w:rFonts w:cs="Times New Roman"/>
          <w:szCs w:val="20"/>
        </w:rPr>
      </w:pPr>
    </w:p>
    <w:p w14:paraId="296A426A" w14:textId="77777777" w:rsidR="009172AD" w:rsidRDefault="009172AD">
      <w:pPr>
        <w:rPr>
          <w:rFonts w:cs="Times New Roman"/>
          <w:szCs w:val="20"/>
        </w:rPr>
      </w:pPr>
      <w:r w:rsidRPr="00AC2FE5">
        <w:rPr>
          <w:rFonts w:cs="Times New Roman"/>
          <w:szCs w:val="20"/>
        </w:rPr>
        <w:t xml:space="preserve">This is an ongoing evaluation of your current situation. We reassess where you are now, where you want to go, and consider any actions or changes that may be necessary to maximize the probability of achieving all that is important to you. </w:t>
      </w:r>
    </w:p>
    <w:p w14:paraId="6C82A02A" w14:textId="77777777" w:rsidR="00D82136" w:rsidRPr="00AC2FE5" w:rsidRDefault="00D82136">
      <w:pPr>
        <w:rPr>
          <w:rFonts w:cs="Times New Roman"/>
          <w:szCs w:val="20"/>
        </w:rPr>
      </w:pPr>
    </w:p>
    <w:p w14:paraId="6A476C48" w14:textId="77777777" w:rsidR="009172AD" w:rsidRPr="00AC2FE5" w:rsidRDefault="009172AD" w:rsidP="009172AD">
      <w:pPr>
        <w:pStyle w:val="Heading2"/>
      </w:pPr>
      <w:bookmarkStart w:id="8" w:name="_Toc412470196"/>
      <w:r w:rsidRPr="00AC2FE5">
        <w:t>Asset Allocation</w:t>
      </w:r>
      <w:bookmarkEnd w:id="8"/>
    </w:p>
    <w:p w14:paraId="5111FE44" w14:textId="77777777" w:rsidR="009172AD" w:rsidRPr="00AC2FE5" w:rsidRDefault="009172AD">
      <w:pPr>
        <w:rPr>
          <w:rFonts w:cs="Times New Roman"/>
          <w:szCs w:val="20"/>
        </w:rPr>
      </w:pPr>
    </w:p>
    <w:p w14:paraId="3A545710" w14:textId="77777777" w:rsidR="009172AD" w:rsidRDefault="009172AD">
      <w:pPr>
        <w:rPr>
          <w:rFonts w:cs="Times New Roman"/>
          <w:szCs w:val="20"/>
        </w:rPr>
      </w:pPr>
      <w:r w:rsidRPr="00AC2FE5">
        <w:rPr>
          <w:rFonts w:cs="Times New Roman"/>
          <w:szCs w:val="20"/>
        </w:rPr>
        <w:t>As we have discussed, we use Modern Portfolio Theory to determine that your account has the proper asset class selection to meet your financial goals. Change is one thing of which we are certain, and because proper asset allocation is so important, we periodically review each asset class to determine if it is still appropriate to your overall plan.</w:t>
      </w:r>
    </w:p>
    <w:p w14:paraId="509CCAEA" w14:textId="77777777" w:rsidR="00D82136" w:rsidRPr="00AC2FE5" w:rsidRDefault="00D82136">
      <w:pPr>
        <w:rPr>
          <w:rFonts w:cs="Times New Roman"/>
          <w:szCs w:val="20"/>
        </w:rPr>
      </w:pPr>
    </w:p>
    <w:p w14:paraId="2A216580" w14:textId="77777777" w:rsidR="009172AD" w:rsidRPr="00AC2FE5" w:rsidRDefault="009172AD" w:rsidP="009172AD">
      <w:pPr>
        <w:pStyle w:val="Heading2"/>
      </w:pPr>
      <w:bookmarkStart w:id="9" w:name="_Toc412470197"/>
      <w:r w:rsidRPr="00AC2FE5">
        <w:t>Manager Selection</w:t>
      </w:r>
      <w:bookmarkEnd w:id="9"/>
    </w:p>
    <w:p w14:paraId="5E3FA7F4" w14:textId="77777777" w:rsidR="009172AD" w:rsidRPr="00AC2FE5" w:rsidRDefault="009172AD">
      <w:pPr>
        <w:rPr>
          <w:rFonts w:cs="Times New Roman"/>
          <w:szCs w:val="20"/>
        </w:rPr>
      </w:pPr>
    </w:p>
    <w:p w14:paraId="4B1B2E48" w14:textId="77777777" w:rsidR="009172AD" w:rsidRDefault="009172AD">
      <w:pPr>
        <w:rPr>
          <w:rFonts w:cs="Times New Roman"/>
          <w:szCs w:val="20"/>
        </w:rPr>
      </w:pPr>
      <w:r w:rsidRPr="00AC2FE5">
        <w:rPr>
          <w:rFonts w:cs="Times New Roman"/>
          <w:szCs w:val="20"/>
        </w:rPr>
        <w:t>While decisions about asset allocation are the most important decisions to be made about your portfolio, we also evaluate the managers on an ongoing basis. In particular, we look for their ability to deliver consistent returns within their asset class in a cost-effective and tax-efficient manner.</w:t>
      </w:r>
      <w:r w:rsidR="00782AA1">
        <w:rPr>
          <w:rFonts w:cs="Times New Roman"/>
          <w:szCs w:val="20"/>
        </w:rPr>
        <w:t xml:space="preserve"> This is particularly important in the fixed income portions of your portfolio or specific market segment where we may choose to use a no-load retail fund because of compelling research which indicates that active management has a high probability of offering an advantage over a passive strategy. In particular, there exists compelling research which indicates that active management may offer predictable </w:t>
      </w:r>
      <w:r w:rsidR="00232C8D">
        <w:rPr>
          <w:rFonts w:cs="Times New Roman"/>
          <w:szCs w:val="20"/>
        </w:rPr>
        <w:t>“</w:t>
      </w:r>
      <w:r w:rsidR="00782AA1">
        <w:rPr>
          <w:rFonts w:cs="Times New Roman"/>
          <w:szCs w:val="20"/>
        </w:rPr>
        <w:t>alpha</w:t>
      </w:r>
      <w:r w:rsidR="00232C8D">
        <w:rPr>
          <w:rFonts w:cs="Times New Roman"/>
          <w:szCs w:val="20"/>
        </w:rPr>
        <w:t>”</w:t>
      </w:r>
      <w:r w:rsidR="00782AA1">
        <w:rPr>
          <w:rFonts w:cs="Times New Roman"/>
          <w:szCs w:val="20"/>
        </w:rPr>
        <w:t xml:space="preserve"> (the ability to capitalize upon market inefficiencies, thereby increasing returns and reducing risk) in the following asset classes: World Stock, Real Estate Securities and International Fixed Income.</w:t>
      </w:r>
    </w:p>
    <w:p w14:paraId="6CCB568C" w14:textId="77777777" w:rsidR="00D82136" w:rsidRPr="00AC2FE5" w:rsidRDefault="00D82136">
      <w:pPr>
        <w:rPr>
          <w:rFonts w:cs="Times New Roman"/>
          <w:szCs w:val="20"/>
        </w:rPr>
      </w:pPr>
    </w:p>
    <w:p w14:paraId="4FC42342" w14:textId="77777777" w:rsidR="009172AD" w:rsidRPr="00AC2FE5" w:rsidRDefault="009172AD" w:rsidP="009172AD">
      <w:pPr>
        <w:pStyle w:val="Heading2"/>
      </w:pPr>
      <w:bookmarkStart w:id="10" w:name="_Toc412470198"/>
      <w:r w:rsidRPr="00AC2FE5">
        <w:t>Rebalancing and Reporting Progress</w:t>
      </w:r>
      <w:bookmarkEnd w:id="10"/>
      <w:r w:rsidRPr="00AC2FE5">
        <w:t xml:space="preserve"> </w:t>
      </w:r>
    </w:p>
    <w:p w14:paraId="3289721F" w14:textId="77777777" w:rsidR="009172AD" w:rsidRPr="00AC2FE5" w:rsidRDefault="009172AD">
      <w:pPr>
        <w:rPr>
          <w:rFonts w:cs="Times New Roman"/>
          <w:szCs w:val="20"/>
        </w:rPr>
      </w:pPr>
    </w:p>
    <w:p w14:paraId="5DEBCC40" w14:textId="77777777" w:rsidR="009172AD" w:rsidRPr="00AC2FE5" w:rsidRDefault="009172AD">
      <w:pPr>
        <w:rPr>
          <w:rFonts w:cs="Times New Roman"/>
          <w:szCs w:val="20"/>
        </w:rPr>
      </w:pPr>
      <w:r w:rsidRPr="00AC2FE5">
        <w:rPr>
          <w:rFonts w:cs="Times New Roman"/>
          <w:szCs w:val="20"/>
        </w:rPr>
        <w:t xml:space="preserve">During our Regular Progress Meetings, we will ask you about any specific events in your life that may call for a change in your portfolio. These events might include, for example, the birth of a child or grandchild, the death of a </w:t>
      </w:r>
      <w:r w:rsidRPr="00AC2FE5">
        <w:rPr>
          <w:rFonts w:cs="Times New Roman"/>
          <w:szCs w:val="20"/>
        </w:rPr>
        <w:lastRenderedPageBreak/>
        <w:t>parent or a change in your marital status. When changes in your situation indicate that changes and rebalancing in your portfolio are warr</w:t>
      </w:r>
      <w:r w:rsidR="00474BAF">
        <w:rPr>
          <w:rFonts w:cs="Times New Roman"/>
          <w:szCs w:val="20"/>
        </w:rPr>
        <w:t>anted, we make these as needed. Additionally, we will perform periodic rebalancing operations within your portfolio as economic and market conditions dictate.</w:t>
      </w:r>
    </w:p>
    <w:p w14:paraId="3A07ADE9" w14:textId="77777777" w:rsidR="009172AD" w:rsidRPr="00AC2FE5" w:rsidRDefault="009172AD">
      <w:pPr>
        <w:rPr>
          <w:rFonts w:cs="Times New Roman"/>
          <w:szCs w:val="20"/>
        </w:rPr>
      </w:pPr>
    </w:p>
    <w:p w14:paraId="53A78462" w14:textId="77777777" w:rsidR="009172AD" w:rsidRPr="00AC2FE5" w:rsidRDefault="009172AD">
      <w:pPr>
        <w:rPr>
          <w:rFonts w:cs="Times New Roman"/>
          <w:szCs w:val="20"/>
        </w:rPr>
      </w:pPr>
      <w:r w:rsidRPr="00AC2FE5">
        <w:rPr>
          <w:rFonts w:cs="Times New Roman"/>
          <w:szCs w:val="20"/>
        </w:rPr>
        <w:t xml:space="preserve">We will also report on how your portfolio has performed, as well as specific activity in the portfolio, at our Regular Progress Meetings. </w:t>
      </w:r>
    </w:p>
    <w:p w14:paraId="5C8E7B0B" w14:textId="77777777" w:rsidR="009172AD" w:rsidRPr="00AC2FE5" w:rsidRDefault="009172AD">
      <w:pPr>
        <w:rPr>
          <w:rFonts w:cs="Times New Roman"/>
          <w:szCs w:val="20"/>
        </w:rPr>
      </w:pPr>
    </w:p>
    <w:p w14:paraId="61132DDC" w14:textId="77777777" w:rsidR="009172AD" w:rsidRPr="00AC2FE5" w:rsidRDefault="009172AD">
      <w:pPr>
        <w:rPr>
          <w:rFonts w:cs="Times New Roman"/>
          <w:szCs w:val="20"/>
        </w:rPr>
      </w:pPr>
    </w:p>
    <w:p w14:paraId="37D33B19" w14:textId="77777777" w:rsidR="009172AD" w:rsidRPr="00AC2FE5" w:rsidRDefault="009172AD" w:rsidP="005852E9"/>
    <w:sectPr w:rsidR="009172AD" w:rsidRPr="00AC2FE5" w:rsidSect="006A3690">
      <w:headerReference w:type="default" r:id="rId19"/>
      <w:footerReference w:type="even" r:id="rId20"/>
      <w:footerReference w:type="default" r:id="rId21"/>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FA9FC" w14:textId="77777777" w:rsidR="00CC4D2A" w:rsidRDefault="00CC4D2A">
      <w:r>
        <w:separator/>
      </w:r>
    </w:p>
  </w:endnote>
  <w:endnote w:type="continuationSeparator" w:id="0">
    <w:p w14:paraId="17AFCF89" w14:textId="77777777" w:rsidR="00CC4D2A" w:rsidRDefault="00CC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97E0B" w14:textId="77777777" w:rsidR="00077EC5" w:rsidRDefault="00077EC5" w:rsidP="009172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155379" w14:textId="77777777" w:rsidR="00077EC5" w:rsidRDefault="00077EC5" w:rsidP="009172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0A800" w14:textId="77777777" w:rsidR="00077EC5" w:rsidRDefault="00077EC5" w:rsidP="009172AD">
    <w:pPr>
      <w:pStyle w:val="Footer"/>
      <w:framePr w:wrap="around" w:vAnchor="text" w:hAnchor="page" w:x="10342" w:y="28"/>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5C9CDAE" w14:textId="77777777" w:rsidR="00077EC5" w:rsidRPr="00021DE4" w:rsidRDefault="00077EC5" w:rsidP="009172AD">
    <w:pPr>
      <w:pStyle w:val="Footer"/>
      <w:spacing w:before="120"/>
      <w:ind w:right="360"/>
      <w:rPr>
        <w:rFonts w:cs="Times New Roman"/>
        <w:sz w:val="18"/>
        <w:szCs w:val="18"/>
      </w:rPr>
    </w:pPr>
    <w:r>
      <w:rPr>
        <w:noProof/>
      </w:rPr>
      <w:pict w14:anchorId="672C239E">
        <v:line id="Line 6" o:spid="_x0000_s2051" style="position:absolute;z-index:4;visibility:visible" from="1.05pt,1.55pt" to="433.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qK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"/>
      </w:pict>
    </w:r>
    <w:r w:rsidRPr="001839B8">
      <w:rPr>
        <w:rFonts w:cs="Times New Roman"/>
        <w:sz w:val="18"/>
        <w:szCs w:val="18"/>
      </w:rPr>
      <w:t xml:space="preserve">Elite </w:t>
    </w:r>
    <w:r>
      <w:rPr>
        <w:rFonts w:cs="Times New Roman"/>
        <w:sz w:val="18"/>
        <w:szCs w:val="18"/>
      </w:rPr>
      <w:t xml:space="preserve">Financial </w:t>
    </w:r>
    <w:r w:rsidRPr="001839B8">
      <w:rPr>
        <w:rFonts w:cs="Times New Roman"/>
        <w:sz w:val="18"/>
        <w:szCs w:val="18"/>
      </w:rPr>
      <w:t>Advisory Services</w:t>
    </w:r>
    <w:r w:rsidRPr="001839B8">
      <w:rPr>
        <w:rFonts w:cs="Times New Roman"/>
        <w:sz w:val="18"/>
        <w:szCs w:val="18"/>
      </w:rPr>
      <w:tab/>
    </w:r>
    <w:r>
      <w:rPr>
        <w:rFonts w:cs="Times New Roman"/>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74BDB" w14:textId="77777777" w:rsidR="00077EC5" w:rsidRDefault="00077EC5" w:rsidP="009172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15EF6B" w14:textId="77777777" w:rsidR="00077EC5" w:rsidRDefault="00077EC5" w:rsidP="009172A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E9BA3" w14:textId="77777777" w:rsidR="00077EC5" w:rsidRPr="005A72F9" w:rsidRDefault="00077EC5" w:rsidP="005A72F9">
    <w:pPr>
      <w:pStyle w:val="Footer"/>
      <w:framePr w:wrap="around" w:vAnchor="text" w:hAnchor="page" w:x="10342" w:y="28"/>
      <w:spacing w:before="120"/>
      <w:rPr>
        <w:rStyle w:val="PageNumber"/>
        <w:sz w:val="18"/>
        <w:szCs w:val="18"/>
      </w:rPr>
    </w:pPr>
    <w:r w:rsidRPr="005A72F9">
      <w:rPr>
        <w:rStyle w:val="PageNumber"/>
        <w:sz w:val="18"/>
        <w:szCs w:val="18"/>
      </w:rPr>
      <w:fldChar w:fldCharType="begin"/>
    </w:r>
    <w:r w:rsidRPr="005A72F9">
      <w:rPr>
        <w:rStyle w:val="PageNumber"/>
        <w:sz w:val="18"/>
        <w:szCs w:val="18"/>
      </w:rPr>
      <w:instrText xml:space="preserve">PAGE  </w:instrText>
    </w:r>
    <w:r w:rsidRPr="005A72F9">
      <w:rPr>
        <w:rStyle w:val="PageNumber"/>
        <w:sz w:val="18"/>
        <w:szCs w:val="18"/>
      </w:rPr>
      <w:fldChar w:fldCharType="separate"/>
    </w:r>
    <w:r>
      <w:rPr>
        <w:rStyle w:val="PageNumber"/>
        <w:noProof/>
        <w:sz w:val="18"/>
        <w:szCs w:val="18"/>
      </w:rPr>
      <w:t>20</w:t>
    </w:r>
    <w:r w:rsidRPr="005A72F9">
      <w:rPr>
        <w:rStyle w:val="PageNumber"/>
        <w:sz w:val="18"/>
        <w:szCs w:val="18"/>
      </w:rPr>
      <w:fldChar w:fldCharType="end"/>
    </w:r>
  </w:p>
  <w:p w14:paraId="46C57D2D" w14:textId="77777777" w:rsidR="00077EC5" w:rsidRPr="00021DE4" w:rsidRDefault="00077EC5" w:rsidP="009172AD">
    <w:pPr>
      <w:pStyle w:val="Footer"/>
      <w:spacing w:before="120"/>
      <w:ind w:right="360"/>
      <w:rPr>
        <w:rFonts w:cs="Times New Roman"/>
        <w:sz w:val="18"/>
        <w:szCs w:val="18"/>
      </w:rPr>
    </w:pPr>
    <w:r>
      <w:rPr>
        <w:noProof/>
      </w:rPr>
      <w:pict w14:anchorId="1D66DC56">
        <v:line id="Line 2" o:spid="_x0000_s2049" style="position:absolute;z-index:2;visibility:visible" from="-3.5pt,1.55pt" to="464.5pt,1.55pt"/>
      </w:pict>
    </w:r>
    <w:r w:rsidRPr="001839B8">
      <w:rPr>
        <w:rFonts w:cs="Times New Roman"/>
        <w:sz w:val="18"/>
        <w:szCs w:val="18"/>
      </w:rPr>
      <w:t xml:space="preserve">Elite </w:t>
    </w:r>
    <w:r>
      <w:rPr>
        <w:rFonts w:cs="Times New Roman"/>
        <w:sz w:val="18"/>
        <w:szCs w:val="18"/>
      </w:rPr>
      <w:t xml:space="preserve">Financial </w:t>
    </w:r>
    <w:r w:rsidRPr="001839B8">
      <w:rPr>
        <w:rFonts w:cs="Times New Roman"/>
        <w:sz w:val="18"/>
        <w:szCs w:val="18"/>
      </w:rPr>
      <w:t>Advisory Services</w:t>
    </w:r>
    <w:r w:rsidRPr="001839B8">
      <w:rPr>
        <w:rFonts w:cs="Times New Roman"/>
        <w:sz w:val="18"/>
        <w:szCs w:val="18"/>
      </w:rPr>
      <w:tab/>
    </w:r>
    <w:r>
      <w:rPr>
        <w:rFonts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E2D03" w14:textId="77777777" w:rsidR="00CC4D2A" w:rsidRDefault="00CC4D2A">
      <w:r>
        <w:separator/>
      </w:r>
    </w:p>
  </w:footnote>
  <w:footnote w:type="continuationSeparator" w:id="0">
    <w:p w14:paraId="0796957C" w14:textId="77777777" w:rsidR="00CC4D2A" w:rsidRDefault="00CC4D2A">
      <w:r>
        <w:continuationSeparator/>
      </w:r>
    </w:p>
  </w:footnote>
  <w:footnote w:id="1">
    <w:p w14:paraId="0E1F8C16" w14:textId="77777777" w:rsidR="00077EC5" w:rsidRPr="00E229A6" w:rsidRDefault="00077EC5" w:rsidP="009172AD">
      <w:pPr>
        <w:pStyle w:val="FootnoteText"/>
        <w:rPr>
          <w:sz w:val="16"/>
          <w:szCs w:val="16"/>
        </w:rPr>
      </w:pPr>
      <w:r>
        <w:rPr>
          <w:rStyle w:val="FootnoteReference"/>
        </w:rPr>
        <w:footnoteRef/>
      </w:r>
      <w:r w:rsidRPr="00745A65">
        <w:rPr>
          <w:sz w:val="18"/>
          <w:szCs w:val="18"/>
        </w:rPr>
        <w:t xml:space="preserve"> </w:t>
      </w:r>
      <w:r w:rsidRPr="00E229A6">
        <w:rPr>
          <w:sz w:val="16"/>
          <w:szCs w:val="16"/>
        </w:rPr>
        <w:t>Figures are for illustrative purposes only and are not a guarantee of future performance. Figures do not reflect the effect of fees or taxes.</w:t>
      </w:r>
    </w:p>
  </w:footnote>
  <w:footnote w:id="2">
    <w:p w14:paraId="6B4DEE59" w14:textId="57C3006E" w:rsidR="00077EC5" w:rsidRDefault="00077EC5">
      <w:pPr>
        <w:pStyle w:val="FootnoteText"/>
      </w:pPr>
      <w:r w:rsidRPr="00E229A6">
        <w:rPr>
          <w:rStyle w:val="FootnoteReference"/>
        </w:rPr>
        <w:footnoteRef/>
      </w:r>
      <w:r w:rsidRPr="00E229A6">
        <w:t xml:space="preserve"> </w:t>
      </w:r>
      <w:r w:rsidRPr="00E229A6">
        <w:rPr>
          <w:sz w:val="16"/>
          <w:szCs w:val="16"/>
        </w:rPr>
        <w:t>U.S. large capitalized stock performance calculations are based on</w:t>
      </w:r>
      <w:r>
        <w:rPr>
          <w:sz w:val="16"/>
          <w:szCs w:val="16"/>
        </w:rPr>
        <w:t xml:space="preserve"> average annualized rolling returns of the </w:t>
      </w:r>
      <w:r w:rsidRPr="00E229A6">
        <w:rPr>
          <w:sz w:val="16"/>
          <w:szCs w:val="16"/>
        </w:rPr>
        <w:t>Standard and Poor</w:t>
      </w:r>
      <w:r>
        <w:rPr>
          <w:sz w:val="16"/>
          <w:szCs w:val="16"/>
        </w:rPr>
        <w:t>’</w:t>
      </w:r>
      <w:r w:rsidRPr="00E229A6">
        <w:rPr>
          <w:sz w:val="16"/>
          <w:szCs w:val="16"/>
        </w:rPr>
        <w:t xml:space="preserve">s 500 Index, an unmanaged index intended to represent the performance of a diversified portfolio of </w:t>
      </w:r>
      <w:r>
        <w:rPr>
          <w:sz w:val="16"/>
          <w:szCs w:val="16"/>
        </w:rPr>
        <w:t xml:space="preserve">large cap </w:t>
      </w:r>
      <w:r w:rsidRPr="00E229A6">
        <w:rPr>
          <w:sz w:val="16"/>
          <w:szCs w:val="16"/>
        </w:rPr>
        <w:t>U.S. stocks.</w:t>
      </w:r>
    </w:p>
  </w:footnote>
  <w:footnote w:id="3">
    <w:p w14:paraId="27BDBBAD" w14:textId="2F0AE575" w:rsidR="00077EC5" w:rsidRDefault="00077EC5">
      <w:pPr>
        <w:pStyle w:val="FootnoteText"/>
      </w:pPr>
      <w:r>
        <w:rPr>
          <w:rStyle w:val="FootnoteReference"/>
        </w:rPr>
        <w:footnoteRef/>
      </w:r>
      <w:r>
        <w:t xml:space="preserve"> </w:t>
      </w:r>
      <w:r w:rsidRPr="004E459D">
        <w:rPr>
          <w:sz w:val="16"/>
          <w:szCs w:val="16"/>
        </w:rPr>
        <w:t>Dimensional Fund Advisors, Retur</w:t>
      </w:r>
      <w:r>
        <w:rPr>
          <w:sz w:val="16"/>
          <w:szCs w:val="16"/>
        </w:rPr>
        <w:t>ns program, updated through 2019</w:t>
      </w:r>
      <w:r w:rsidRPr="004E459D">
        <w:rPr>
          <w:sz w:val="16"/>
          <w:szCs w:val="16"/>
        </w:rPr>
        <w:t>.</w:t>
      </w:r>
    </w:p>
  </w:footnote>
  <w:footnote w:id="4">
    <w:p w14:paraId="34D5B2B1" w14:textId="77777777" w:rsidR="00077EC5" w:rsidRDefault="00077EC5">
      <w:pPr>
        <w:pStyle w:val="FootnoteText"/>
      </w:pPr>
      <w:r>
        <w:rPr>
          <w:rStyle w:val="FootnoteReference"/>
        </w:rPr>
        <w:footnoteRef/>
      </w:r>
      <w:r>
        <w:t xml:space="preserve"> </w:t>
      </w:r>
      <w:r w:rsidRPr="00E229A6">
        <w:rPr>
          <w:sz w:val="16"/>
          <w:szCs w:val="16"/>
        </w:rPr>
        <w:t>Figures are for illustrative purposes only and are not a guarantee of future performance. Figures do not reflect the effect of fees or taxes.</w:t>
      </w:r>
    </w:p>
  </w:footnote>
  <w:footnote w:id="5">
    <w:p w14:paraId="0534F7C9" w14:textId="77777777" w:rsidR="00077EC5" w:rsidRDefault="00077EC5">
      <w:pPr>
        <w:pStyle w:val="FootnoteText"/>
      </w:pPr>
      <w:r>
        <w:rPr>
          <w:rStyle w:val="FootnoteReference"/>
        </w:rPr>
        <w:footnoteRef/>
      </w:r>
      <w:r>
        <w:t xml:space="preserve"> </w:t>
      </w:r>
      <w:r w:rsidRPr="00A6303A">
        <w:rPr>
          <w:rFonts w:cs="Times New Roman"/>
          <w:sz w:val="16"/>
          <w:szCs w:val="16"/>
        </w:rPr>
        <w:t xml:space="preserve">Gary P. Brinson, L. Randolph Hood and Gilbert L. Beebower, </w:t>
      </w:r>
      <w:r>
        <w:rPr>
          <w:rFonts w:cs="Times New Roman"/>
          <w:sz w:val="16"/>
          <w:szCs w:val="16"/>
        </w:rPr>
        <w:t>“</w:t>
      </w:r>
      <w:r w:rsidRPr="00A6303A">
        <w:rPr>
          <w:rFonts w:cs="Times New Roman"/>
          <w:sz w:val="16"/>
          <w:szCs w:val="16"/>
        </w:rPr>
        <w:t>Determinants of Portfolio Performance,</w:t>
      </w:r>
      <w:r>
        <w:rPr>
          <w:rFonts w:cs="Times New Roman"/>
          <w:sz w:val="16"/>
          <w:szCs w:val="16"/>
        </w:rPr>
        <w:t>”</w:t>
      </w:r>
      <w:r w:rsidRPr="00A6303A">
        <w:rPr>
          <w:rFonts w:cs="Times New Roman"/>
          <w:sz w:val="16"/>
          <w:szCs w:val="16"/>
        </w:rPr>
        <w:t xml:space="preserve"> </w:t>
      </w:r>
      <w:r w:rsidRPr="00A6303A">
        <w:rPr>
          <w:rFonts w:cs="Times New Roman"/>
          <w:i/>
          <w:iCs/>
          <w:sz w:val="16"/>
          <w:szCs w:val="16"/>
        </w:rPr>
        <w:t>Financial Analysts Journal</w:t>
      </w:r>
      <w:r w:rsidRPr="00A6303A">
        <w:rPr>
          <w:rFonts w:cs="Times New Roman"/>
          <w:sz w:val="16"/>
          <w:szCs w:val="16"/>
        </w:rPr>
        <w:t>, July/August 1986.</w:t>
      </w:r>
    </w:p>
  </w:footnote>
  <w:footnote w:id="6">
    <w:p w14:paraId="5C12986F" w14:textId="4F1F346E" w:rsidR="00077EC5" w:rsidRDefault="00077EC5">
      <w:pPr>
        <w:pStyle w:val="FootnoteText"/>
      </w:pPr>
      <w:r>
        <w:rPr>
          <w:rStyle w:val="FootnoteReference"/>
        </w:rPr>
        <w:footnoteRef/>
      </w:r>
      <w:r>
        <w:t xml:space="preserve"> </w:t>
      </w:r>
      <w:r w:rsidRPr="006269A7">
        <w:rPr>
          <w:sz w:val="16"/>
          <w:szCs w:val="16"/>
        </w:rPr>
        <w:t xml:space="preserve">Dimensional Fund Advisors, Returns program, as </w:t>
      </w:r>
      <w:r w:rsidRPr="00A26007">
        <w:rPr>
          <w:sz w:val="16"/>
          <w:szCs w:val="16"/>
        </w:rPr>
        <w:t>updated through 201</w:t>
      </w:r>
      <w:r>
        <w:rPr>
          <w:sz w:val="16"/>
          <w:szCs w:val="16"/>
        </w:rPr>
        <w:t>9</w:t>
      </w:r>
      <w:r w:rsidRPr="00A26007">
        <w:rPr>
          <w:sz w:val="16"/>
          <w:szCs w:val="16"/>
        </w:rPr>
        <w:t>.</w:t>
      </w:r>
    </w:p>
  </w:footnote>
  <w:footnote w:id="7">
    <w:p w14:paraId="506EBFED" w14:textId="77777777" w:rsidR="00077EC5" w:rsidRDefault="00077EC5">
      <w:pPr>
        <w:pStyle w:val="FootnoteText"/>
      </w:pPr>
      <w:r>
        <w:rPr>
          <w:rStyle w:val="FootnoteReference"/>
        </w:rPr>
        <w:footnoteRef/>
      </w:r>
      <w:r>
        <w:t xml:space="preserve"> </w:t>
      </w:r>
      <w:r w:rsidRPr="009F5AB7">
        <w:rPr>
          <w:sz w:val="16"/>
          <w:szCs w:val="16"/>
        </w:rPr>
        <w:t xml:space="preserve">For example, see Edward L. Martin, </w:t>
      </w:r>
      <w:r>
        <w:rPr>
          <w:sz w:val="16"/>
          <w:szCs w:val="16"/>
        </w:rPr>
        <w:t>“</w:t>
      </w:r>
      <w:r w:rsidRPr="009F5AB7">
        <w:rPr>
          <w:sz w:val="16"/>
          <w:szCs w:val="16"/>
        </w:rPr>
        <w:t>Intermediate-Term Bonds,</w:t>
      </w:r>
      <w:r>
        <w:rPr>
          <w:sz w:val="16"/>
          <w:szCs w:val="16"/>
        </w:rPr>
        <w:t>”</w:t>
      </w:r>
      <w:r w:rsidRPr="009F5AB7">
        <w:rPr>
          <w:sz w:val="16"/>
          <w:szCs w:val="16"/>
        </w:rPr>
        <w:t xml:space="preserve"> </w:t>
      </w:r>
      <w:r w:rsidRPr="009F5AB7">
        <w:rPr>
          <w:i/>
          <w:sz w:val="16"/>
          <w:szCs w:val="16"/>
        </w:rPr>
        <w:t>AAII Journal</w:t>
      </w:r>
      <w:r w:rsidRPr="009F5AB7">
        <w:rPr>
          <w:sz w:val="16"/>
          <w:szCs w:val="16"/>
        </w:rPr>
        <w:t>, January 1991, pp. 13-16.</w:t>
      </w:r>
    </w:p>
  </w:footnote>
  <w:footnote w:id="8">
    <w:p w14:paraId="43C5CCA0" w14:textId="64E90917" w:rsidR="00077EC5" w:rsidRDefault="00077EC5">
      <w:pPr>
        <w:pStyle w:val="FootnoteText"/>
      </w:pPr>
      <w:r>
        <w:rPr>
          <w:rStyle w:val="FootnoteReference"/>
        </w:rPr>
        <w:footnoteRef/>
      </w:r>
      <w:r>
        <w:t xml:space="preserve"> </w:t>
      </w:r>
      <w:r w:rsidRPr="00D42012">
        <w:rPr>
          <w:sz w:val="16"/>
          <w:szCs w:val="16"/>
        </w:rPr>
        <w:t>Treas</w:t>
      </w:r>
      <w:r>
        <w:rPr>
          <w:sz w:val="16"/>
          <w:szCs w:val="16"/>
        </w:rPr>
        <w:t>ury instruments 1964-201</w:t>
      </w:r>
      <w:r w:rsidR="001234B2">
        <w:rPr>
          <w:sz w:val="16"/>
          <w:szCs w:val="16"/>
        </w:rPr>
        <w:t>9</w:t>
      </w:r>
      <w:r>
        <w:rPr>
          <w:sz w:val="16"/>
          <w:szCs w:val="16"/>
        </w:rPr>
        <w:t>: Dimensional Fund Advisors, Returns program</w:t>
      </w:r>
      <w:r w:rsidRPr="00D42012">
        <w:rPr>
          <w:sz w:val="16"/>
          <w:szCs w:val="16"/>
        </w:rPr>
        <w:t>.</w:t>
      </w:r>
    </w:p>
  </w:footnote>
  <w:footnote w:id="9">
    <w:p w14:paraId="1647F4B0" w14:textId="77777777" w:rsidR="00077EC5" w:rsidRDefault="00077EC5">
      <w:pPr>
        <w:pStyle w:val="FootnoteText"/>
      </w:pPr>
      <w:r>
        <w:rPr>
          <w:rStyle w:val="FootnoteReference"/>
        </w:rPr>
        <w:footnoteRef/>
      </w:r>
      <w:r>
        <w:t xml:space="preserve"> </w:t>
      </w:r>
      <w:r w:rsidRPr="00191D58">
        <w:rPr>
          <w:sz w:val="16"/>
          <w:szCs w:val="16"/>
        </w:rPr>
        <w:t xml:space="preserve">Dimensional Fund Advisors, </w:t>
      </w:r>
      <w:r w:rsidRPr="00191D58">
        <w:rPr>
          <w:i/>
          <w:sz w:val="16"/>
          <w:szCs w:val="16"/>
        </w:rPr>
        <w:t>U.S. Small Company Strategy.</w:t>
      </w:r>
    </w:p>
  </w:footnote>
  <w:footnote w:id="10">
    <w:p w14:paraId="6182C041" w14:textId="77777777" w:rsidR="00077EC5" w:rsidRPr="00A57BB4" w:rsidRDefault="00077EC5" w:rsidP="009172AD">
      <w:pPr>
        <w:rPr>
          <w:sz w:val="16"/>
          <w:szCs w:val="16"/>
        </w:rPr>
      </w:pPr>
      <w:r>
        <w:rPr>
          <w:rStyle w:val="FootnoteReference"/>
        </w:rPr>
        <w:footnoteRef/>
      </w:r>
      <w:r>
        <w:t xml:space="preserve"> </w:t>
      </w:r>
      <w:r w:rsidRPr="00A57BB4">
        <w:rPr>
          <w:rStyle w:val="FootnoteTextChar"/>
          <w:sz w:val="16"/>
          <w:szCs w:val="16"/>
        </w:rPr>
        <w:t>Deciles 1-10 of NYSE (plus AMEX equivalents since July 1962 and NASDAQ equivalents since 1973).</w:t>
      </w:r>
      <w:r>
        <w:rPr>
          <w:rStyle w:val="FootnoteTextChar"/>
          <w:sz w:val="16"/>
          <w:szCs w:val="16"/>
        </w:rPr>
        <w:t xml:space="preserve"> </w:t>
      </w:r>
      <w:r w:rsidRPr="009E6BF0">
        <w:rPr>
          <w:rStyle w:val="FootnoteTextChar"/>
          <w:sz w:val="16"/>
          <w:szCs w:val="16"/>
        </w:rPr>
        <w:t>CRSP: Center for Research in Security Prices, University of Chicago.</w:t>
      </w:r>
    </w:p>
  </w:footnote>
  <w:footnote w:id="11">
    <w:p w14:paraId="70165FEB" w14:textId="5B3B03D1" w:rsidR="00077EC5" w:rsidRDefault="00077EC5" w:rsidP="001A671E">
      <w:pPr>
        <w:pStyle w:val="FootnoteText"/>
      </w:pPr>
      <w:r>
        <w:rPr>
          <w:rStyle w:val="FootnoteReference"/>
        </w:rPr>
        <w:footnoteRef/>
      </w:r>
      <w:r>
        <w:t xml:space="preserve"> </w:t>
      </w:r>
      <w:r w:rsidRPr="006269A7">
        <w:rPr>
          <w:sz w:val="16"/>
          <w:szCs w:val="16"/>
        </w:rPr>
        <w:t xml:space="preserve">Dimensional Fund Advisors, Returns program, as </w:t>
      </w:r>
      <w:r w:rsidRPr="00A26007">
        <w:rPr>
          <w:sz w:val="16"/>
          <w:szCs w:val="16"/>
        </w:rPr>
        <w:t>updated through 201</w:t>
      </w:r>
      <w:r w:rsidR="003076D8">
        <w:rPr>
          <w:sz w:val="16"/>
          <w:szCs w:val="16"/>
        </w:rPr>
        <w:t>9</w:t>
      </w:r>
      <w:r w:rsidRPr="00A26007">
        <w:rPr>
          <w:sz w:val="16"/>
          <w:szCs w:val="16"/>
        </w:rPr>
        <w:t>.</w:t>
      </w:r>
    </w:p>
  </w:footnote>
  <w:footnote w:id="12">
    <w:p w14:paraId="256AA033" w14:textId="193B4CEB" w:rsidR="00077EC5" w:rsidRDefault="00077EC5">
      <w:pPr>
        <w:pStyle w:val="FootnoteText"/>
      </w:pPr>
      <w:r w:rsidRPr="00525B3A">
        <w:rPr>
          <w:rStyle w:val="FootnoteReference"/>
        </w:rPr>
        <w:footnoteRef/>
      </w:r>
      <w:r w:rsidRPr="00525B3A">
        <w:t xml:space="preserve"> </w:t>
      </w:r>
      <w:r>
        <w:rPr>
          <w:sz w:val="16"/>
          <w:szCs w:val="16"/>
        </w:rPr>
        <w:t>R</w:t>
      </w:r>
      <w:r w:rsidRPr="00980C21">
        <w:rPr>
          <w:sz w:val="16"/>
          <w:szCs w:val="16"/>
        </w:rPr>
        <w:t>eturns f</w:t>
      </w:r>
      <w:r>
        <w:rPr>
          <w:sz w:val="16"/>
          <w:szCs w:val="16"/>
        </w:rPr>
        <w:t>or the S&amp;P 500 Index and the Dimensional</w:t>
      </w:r>
      <w:r w:rsidRPr="00980C21">
        <w:rPr>
          <w:sz w:val="16"/>
          <w:szCs w:val="16"/>
        </w:rPr>
        <w:t xml:space="preserve"> Large</w:t>
      </w:r>
      <w:r>
        <w:rPr>
          <w:sz w:val="16"/>
          <w:szCs w:val="16"/>
        </w:rPr>
        <w:t xml:space="preserve"> Cap Value Index. </w:t>
      </w:r>
      <w:r w:rsidRPr="006269A7">
        <w:rPr>
          <w:sz w:val="16"/>
          <w:szCs w:val="16"/>
        </w:rPr>
        <w:t xml:space="preserve">Dimensional Fund Advisors, Returns program, as </w:t>
      </w:r>
      <w:r w:rsidRPr="00A26007">
        <w:rPr>
          <w:sz w:val="16"/>
          <w:szCs w:val="16"/>
        </w:rPr>
        <w:t>updated through 201</w:t>
      </w:r>
      <w:r w:rsidR="00762303">
        <w:rPr>
          <w:sz w:val="16"/>
          <w:szCs w:val="16"/>
        </w:rPr>
        <w:t>9</w:t>
      </w:r>
      <w:r w:rsidRPr="00A26007">
        <w:rPr>
          <w:sz w:val="16"/>
          <w:szCs w:val="16"/>
        </w:rPr>
        <w:t>.</w:t>
      </w:r>
    </w:p>
  </w:footnote>
  <w:footnote w:id="13">
    <w:p w14:paraId="069098AD" w14:textId="6D0FC5DC" w:rsidR="00077EC5" w:rsidRDefault="00077EC5">
      <w:pPr>
        <w:pStyle w:val="FootnoteText"/>
      </w:pPr>
      <w:r>
        <w:rPr>
          <w:rStyle w:val="FootnoteReference"/>
        </w:rPr>
        <w:footnoteRef/>
      </w:r>
      <w:r w:rsidRPr="00F75E2C">
        <w:rPr>
          <w:sz w:val="16"/>
          <w:szCs w:val="16"/>
        </w:rPr>
        <w:t xml:space="preserve"> </w:t>
      </w:r>
      <w:r>
        <w:rPr>
          <w:sz w:val="16"/>
          <w:szCs w:val="16"/>
        </w:rPr>
        <w:t xml:space="preserve">Returns for the S&amp;P </w:t>
      </w:r>
      <w:r w:rsidRPr="00F75E2C">
        <w:rPr>
          <w:sz w:val="16"/>
          <w:szCs w:val="16"/>
        </w:rPr>
        <w:t xml:space="preserve">500 Index and the </w:t>
      </w:r>
      <w:r>
        <w:rPr>
          <w:sz w:val="16"/>
          <w:szCs w:val="16"/>
        </w:rPr>
        <w:t xml:space="preserve">MSCI </w:t>
      </w:r>
      <w:r w:rsidRPr="00F75E2C">
        <w:rPr>
          <w:sz w:val="16"/>
          <w:szCs w:val="16"/>
        </w:rPr>
        <w:t xml:space="preserve">EAFE Index. </w:t>
      </w:r>
      <w:r w:rsidRPr="006269A7">
        <w:rPr>
          <w:sz w:val="16"/>
          <w:szCs w:val="16"/>
        </w:rPr>
        <w:t xml:space="preserve">Dimensional Fund Advisors, Returns program, as </w:t>
      </w:r>
      <w:r w:rsidRPr="00A26007">
        <w:rPr>
          <w:sz w:val="16"/>
          <w:szCs w:val="16"/>
        </w:rPr>
        <w:t>updated through 201</w:t>
      </w:r>
      <w:r w:rsidR="00762303">
        <w:rPr>
          <w:sz w:val="16"/>
          <w:szCs w:val="16"/>
        </w:rPr>
        <w:t>9</w:t>
      </w:r>
      <w:r w:rsidRPr="00A26007">
        <w:rPr>
          <w:sz w:val="16"/>
          <w:szCs w:val="16"/>
        </w:rPr>
        <w:t>.</w:t>
      </w:r>
    </w:p>
  </w:footnote>
  <w:footnote w:id="14">
    <w:p w14:paraId="743DD7A5" w14:textId="77777777" w:rsidR="00077EC5" w:rsidRDefault="00077EC5">
      <w:pPr>
        <w:pStyle w:val="FootnoteText"/>
      </w:pPr>
      <w:r>
        <w:rPr>
          <w:rStyle w:val="FootnoteReference"/>
        </w:rPr>
        <w:footnoteRef/>
      </w:r>
      <w:r>
        <w:t xml:space="preserve"> </w:t>
      </w:r>
      <w:r w:rsidRPr="00F75E2C">
        <w:rPr>
          <w:sz w:val="16"/>
          <w:szCs w:val="16"/>
        </w:rPr>
        <w:t xml:space="preserve">Dimensional Fund Advisors, Inc., </w:t>
      </w:r>
      <w:r>
        <w:rPr>
          <w:sz w:val="16"/>
          <w:szCs w:val="16"/>
        </w:rPr>
        <w:t>“</w:t>
      </w:r>
      <w:r w:rsidRPr="00F75E2C">
        <w:rPr>
          <w:sz w:val="16"/>
          <w:szCs w:val="16"/>
        </w:rPr>
        <w:t>Inter</w:t>
      </w:r>
      <w:r>
        <w:rPr>
          <w:sz w:val="16"/>
          <w:szCs w:val="16"/>
        </w:rPr>
        <w:t>national Small Company Stocks—</w:t>
      </w:r>
      <w:r w:rsidRPr="00F75E2C">
        <w:rPr>
          <w:sz w:val="16"/>
          <w:szCs w:val="16"/>
        </w:rPr>
        <w:t>A New Dimension for Institutional Investors</w:t>
      </w:r>
      <w:r>
        <w:rPr>
          <w:sz w:val="16"/>
          <w:szCs w:val="16"/>
        </w:rPr>
        <w:t>”</w:t>
      </w:r>
      <w:r w:rsidRPr="00F75E2C">
        <w:rPr>
          <w:sz w:val="16"/>
          <w:szCs w:val="16"/>
        </w:rPr>
        <w:t xml:space="preserve"> (1987); also </w:t>
      </w:r>
      <w:r>
        <w:rPr>
          <w:sz w:val="16"/>
          <w:szCs w:val="16"/>
        </w:rPr>
        <w:t>“</w:t>
      </w:r>
      <w:r w:rsidRPr="00F75E2C">
        <w:rPr>
          <w:sz w:val="16"/>
          <w:szCs w:val="16"/>
        </w:rPr>
        <w:t>International Small Companies</w:t>
      </w:r>
      <w:r>
        <w:rPr>
          <w:sz w:val="16"/>
          <w:szCs w:val="16"/>
        </w:rPr>
        <w:t>,”</w:t>
      </w:r>
      <w:r w:rsidRPr="00F75E2C">
        <w:rPr>
          <w:sz w:val="16"/>
          <w:szCs w:val="16"/>
        </w:rPr>
        <w:t xml:space="preserve"> a DFA presentation (1990). Updated, 2002.</w:t>
      </w:r>
    </w:p>
  </w:footnote>
  <w:footnote w:id="15">
    <w:p w14:paraId="0386DAFE" w14:textId="77777777" w:rsidR="00077EC5" w:rsidRDefault="00077EC5">
      <w:pPr>
        <w:pStyle w:val="FootnoteText"/>
      </w:pPr>
      <w:r>
        <w:rPr>
          <w:rStyle w:val="FootnoteReference"/>
        </w:rPr>
        <w:footnoteRef/>
      </w:r>
      <w:r>
        <w:t xml:space="preserve"> </w:t>
      </w:r>
      <w:r w:rsidRPr="00F23073">
        <w:rPr>
          <w:sz w:val="16"/>
          <w:szCs w:val="16"/>
        </w:rPr>
        <w:t xml:space="preserve">See Eugene F. Fama, “The Behavior of Stock Prices,” </w:t>
      </w:r>
      <w:r w:rsidRPr="00F23073">
        <w:rPr>
          <w:i/>
          <w:sz w:val="16"/>
          <w:szCs w:val="16"/>
        </w:rPr>
        <w:t>Journal of Business</w:t>
      </w:r>
      <w:r w:rsidRPr="00F23073">
        <w:rPr>
          <w:sz w:val="16"/>
          <w:szCs w:val="16"/>
        </w:rPr>
        <w:t xml:space="preserve"> (January 1965); Michael C. Jensen, “The Performance of Mutual Funds in the Period 1945-1964,” </w:t>
      </w:r>
      <w:r w:rsidRPr="00F23073">
        <w:rPr>
          <w:i/>
          <w:sz w:val="16"/>
          <w:szCs w:val="16"/>
        </w:rPr>
        <w:t>Financial Analysts Journal</w:t>
      </w:r>
      <w:r w:rsidRPr="00F23073">
        <w:rPr>
          <w:sz w:val="16"/>
          <w:szCs w:val="16"/>
        </w:rPr>
        <w:t xml:space="preserve"> (November 1989); Richard A. Ipolitto, </w:t>
      </w:r>
      <w:r w:rsidRPr="00F23073">
        <w:rPr>
          <w:i/>
          <w:sz w:val="16"/>
          <w:szCs w:val="16"/>
        </w:rPr>
        <w:t>American Economic Review</w:t>
      </w:r>
      <w:r w:rsidRPr="00F23073">
        <w:rPr>
          <w:sz w:val="16"/>
          <w:szCs w:val="16"/>
        </w:rPr>
        <w:t xml:space="preserve"> (1964); and Edwin J. Elton et al., “Efficiency with Costly Information: A Reinterpretation of Evidence from Managed Portfolios,” </w:t>
      </w:r>
      <w:r w:rsidRPr="00F23073">
        <w:rPr>
          <w:i/>
          <w:sz w:val="16"/>
          <w:szCs w:val="16"/>
        </w:rPr>
        <w:t>Review of Financial Studies</w:t>
      </w:r>
      <w:r w:rsidRPr="00F23073">
        <w:rPr>
          <w:sz w:val="16"/>
          <w:szCs w:val="16"/>
        </w:rPr>
        <w:t xml:space="preserve"> (1993).</w:t>
      </w:r>
    </w:p>
  </w:footnote>
  <w:footnote w:id="16">
    <w:p w14:paraId="678BF419" w14:textId="77777777" w:rsidR="00077EC5" w:rsidRDefault="00077EC5">
      <w:pPr>
        <w:pStyle w:val="FootnoteText"/>
      </w:pPr>
      <w:r>
        <w:rPr>
          <w:rStyle w:val="FootnoteReference"/>
        </w:rPr>
        <w:footnoteRef/>
      </w:r>
      <w:r>
        <w:t xml:space="preserve"> </w:t>
      </w:r>
      <w:r w:rsidRPr="0075438E">
        <w:rPr>
          <w:sz w:val="16"/>
          <w:szCs w:val="16"/>
        </w:rPr>
        <w:t xml:space="preserve">For an intelligent and entertaining discussion of this issue, see Burton R. Malkiel, </w:t>
      </w:r>
      <w:r w:rsidRPr="0075438E">
        <w:rPr>
          <w:i/>
          <w:sz w:val="16"/>
          <w:szCs w:val="16"/>
        </w:rPr>
        <w:t>A Random Walk Down Wall Street.</w:t>
      </w:r>
    </w:p>
  </w:footnote>
  <w:footnote w:id="17">
    <w:p w14:paraId="7F205B43" w14:textId="77777777" w:rsidR="00077EC5" w:rsidRDefault="00077EC5">
      <w:pPr>
        <w:pStyle w:val="FootnoteText"/>
      </w:pPr>
      <w:r>
        <w:rPr>
          <w:rStyle w:val="FootnoteReference"/>
        </w:rPr>
        <w:footnoteRef/>
      </w:r>
      <w:r>
        <w:t xml:space="preserve"> </w:t>
      </w:r>
      <w:r>
        <w:rPr>
          <w:sz w:val="16"/>
          <w:szCs w:val="16"/>
        </w:rPr>
        <w:t xml:space="preserve">Dimensional Fund Advisors, “Market Declines and Volatility.” </w:t>
      </w:r>
    </w:p>
  </w:footnote>
  <w:footnote w:id="18">
    <w:p w14:paraId="175A2708" w14:textId="62F72298" w:rsidR="00077EC5" w:rsidRDefault="00077EC5">
      <w:pPr>
        <w:pStyle w:val="FootnoteText"/>
      </w:pPr>
      <w:r>
        <w:rPr>
          <w:rStyle w:val="FootnoteReference"/>
        </w:rPr>
        <w:footnoteRef/>
      </w:r>
      <w:r>
        <w:t xml:space="preserve"> </w:t>
      </w:r>
      <w:r w:rsidRPr="00215DC1">
        <w:rPr>
          <w:sz w:val="16"/>
          <w:szCs w:val="16"/>
        </w:rPr>
        <w:t>20</w:t>
      </w:r>
      <w:r>
        <w:rPr>
          <w:sz w:val="16"/>
          <w:szCs w:val="16"/>
        </w:rPr>
        <w:t>20</w:t>
      </w:r>
      <w:r w:rsidRPr="00215DC1">
        <w:rPr>
          <w:sz w:val="16"/>
          <w:szCs w:val="16"/>
        </w:rPr>
        <w:t xml:space="preserve"> Investment Company Fact Book, Investment Company Institute.</w:t>
      </w:r>
      <w:r>
        <w:t xml:space="preserve"> </w:t>
      </w:r>
      <w:r w:rsidRPr="008121EE">
        <w:rPr>
          <w:sz w:val="16"/>
          <w:szCs w:val="16"/>
        </w:rPr>
        <w:t>Expenses calculated on an asset-weighted basis.</w:t>
      </w:r>
    </w:p>
  </w:footnote>
  <w:footnote w:id="19">
    <w:p w14:paraId="789823F6" w14:textId="69227462" w:rsidR="00077EC5" w:rsidRPr="008121EE" w:rsidRDefault="00077EC5">
      <w:pPr>
        <w:pStyle w:val="FootnoteText"/>
        <w:rPr>
          <w:sz w:val="16"/>
          <w:szCs w:val="16"/>
        </w:rPr>
      </w:pPr>
      <w:r>
        <w:rPr>
          <w:rStyle w:val="FootnoteReference"/>
        </w:rPr>
        <w:footnoteRef/>
      </w:r>
      <w:r>
        <w:t xml:space="preserve"> </w:t>
      </w:r>
      <w:r w:rsidRPr="00215DC1">
        <w:rPr>
          <w:sz w:val="16"/>
          <w:szCs w:val="16"/>
        </w:rPr>
        <w:t>20</w:t>
      </w:r>
      <w:r>
        <w:rPr>
          <w:sz w:val="16"/>
          <w:szCs w:val="16"/>
        </w:rPr>
        <w:t>20</w:t>
      </w:r>
      <w:r w:rsidRPr="00215DC1">
        <w:rPr>
          <w:sz w:val="16"/>
          <w:szCs w:val="16"/>
        </w:rPr>
        <w:t xml:space="preserve"> Investment Company Fact Book, Investment Company Institute.</w:t>
      </w:r>
      <w:r>
        <w:t xml:space="preserve"> </w:t>
      </w:r>
      <w:r w:rsidRPr="008121EE">
        <w:rPr>
          <w:sz w:val="16"/>
          <w:szCs w:val="16"/>
        </w:rPr>
        <w:t>Expenses calculated on an asset-weighted basis.</w:t>
      </w:r>
    </w:p>
  </w:footnote>
  <w:footnote w:id="20">
    <w:p w14:paraId="7FA88E32" w14:textId="16AC36A9" w:rsidR="00077EC5" w:rsidRPr="00BE506F" w:rsidRDefault="00077EC5">
      <w:pPr>
        <w:pStyle w:val="FootnoteText"/>
        <w:rPr>
          <w:b/>
        </w:rPr>
      </w:pPr>
      <w:r w:rsidRPr="00D82136">
        <w:rPr>
          <w:rStyle w:val="FootnoteReference"/>
        </w:rPr>
        <w:footnoteRef/>
      </w:r>
      <w:r w:rsidRPr="00D82136">
        <w:t xml:space="preserve"> </w:t>
      </w:r>
      <w:r>
        <w:rPr>
          <w:sz w:val="16"/>
          <w:szCs w:val="16"/>
        </w:rPr>
        <w:t>2020 Investment Company Fact Book, Investment Company Institute. Turnover calculated on an asset-weighted basis.</w:t>
      </w:r>
    </w:p>
  </w:footnote>
  <w:footnote w:id="21">
    <w:p w14:paraId="006421DC" w14:textId="77777777" w:rsidR="00077EC5" w:rsidRDefault="00077EC5">
      <w:pPr>
        <w:pStyle w:val="FootnoteText"/>
      </w:pPr>
      <w:r w:rsidRPr="0093351E">
        <w:rPr>
          <w:rStyle w:val="FootnoteReference"/>
        </w:rPr>
        <w:footnoteRef/>
      </w:r>
      <w:r w:rsidRPr="0093351E">
        <w:t xml:space="preserve"> </w:t>
      </w:r>
      <w:r w:rsidRPr="0093351E">
        <w:rPr>
          <w:sz w:val="16"/>
          <w:szCs w:val="16"/>
        </w:rPr>
        <w:t>A study commissioned by Charles Schwab and conducted by John Shoven</w:t>
      </w:r>
      <w:r w:rsidRPr="00404244">
        <w:rPr>
          <w:sz w:val="16"/>
          <w:szCs w:val="16"/>
        </w:rPr>
        <w:t>, a Stanford University economics professor, and Joel Dickson, a Stanford Ph</w:t>
      </w:r>
      <w:r>
        <w:rPr>
          <w:sz w:val="16"/>
          <w:szCs w:val="16"/>
        </w:rPr>
        <w:t>.</w:t>
      </w:r>
      <w:r w:rsidRPr="00404244">
        <w:rPr>
          <w:sz w:val="16"/>
          <w:szCs w:val="16"/>
        </w:rPr>
        <w:t>D</w:t>
      </w:r>
      <w:r>
        <w:rPr>
          <w:sz w:val="16"/>
          <w:szCs w:val="16"/>
        </w:rPr>
        <w:t>.</w:t>
      </w:r>
      <w:r w:rsidRPr="00404244">
        <w:rPr>
          <w:sz w:val="16"/>
          <w:szCs w:val="16"/>
        </w:rPr>
        <w:t xml:space="preserve"> candidate, measured the performance of 62 equity funds for the 30-year period from 1963 through 1992.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4D9F8" w14:textId="77777777" w:rsidR="00077EC5" w:rsidRPr="001839B8" w:rsidRDefault="00077EC5">
    <w:pPr>
      <w:pStyle w:val="Header"/>
      <w:rPr>
        <w:rFonts w:cs="Times New Roman"/>
        <w:sz w:val="18"/>
        <w:szCs w:val="18"/>
      </w:rPr>
    </w:pPr>
    <w:r>
      <w:rPr>
        <w:noProof/>
      </w:rPr>
      <w:pict w14:anchorId="23D6168F">
        <v:line id="Line 5" o:spid="_x0000_s2052" style="position:absolute;z-index:3;visibility:visible" from="1.05pt,15.2pt" to="433.0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gj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"/>
      </w:pict>
    </w:r>
    <w:r w:rsidRPr="001839B8">
      <w:rPr>
        <w:rFonts w:cs="Times New Roman"/>
        <w:sz w:val="18"/>
        <w:szCs w:val="18"/>
      </w:rPr>
      <w:t>Mr. and Mrs. Affluent Client</w:t>
    </w:r>
    <w:r w:rsidRPr="001839B8">
      <w:rPr>
        <w:rFonts w:cs="Times New Roman"/>
        <w:sz w:val="18"/>
        <w:szCs w:val="18"/>
      </w:rPr>
      <w:tab/>
    </w:r>
    <w:r>
      <w:rPr>
        <w:rFonts w:cs="Times New Roman"/>
        <w:sz w:val="18"/>
        <w:szCs w:val="18"/>
      </w:rPr>
      <w:tab/>
      <w:t>March 1</w:t>
    </w:r>
    <w:r w:rsidRPr="001839B8">
      <w:rPr>
        <w:rFonts w:cs="Times New Roman"/>
        <w:sz w:val="18"/>
        <w:szCs w:val="18"/>
      </w:rPr>
      <w:t>,</w:t>
    </w:r>
    <w:r>
      <w:rPr>
        <w:rFonts w:cs="Times New Roman"/>
        <w:sz w:val="18"/>
        <w:szCs w:val="18"/>
      </w:rPr>
      <w:t xml:space="preserve"> 2011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E552C" w14:textId="336B77D8" w:rsidR="00077EC5" w:rsidRPr="001839B8" w:rsidRDefault="00077EC5" w:rsidP="00874F04">
    <w:pPr>
      <w:pStyle w:val="Header"/>
      <w:ind w:right="-432"/>
      <w:rPr>
        <w:rFonts w:cs="Times New Roman"/>
        <w:sz w:val="18"/>
        <w:szCs w:val="18"/>
      </w:rPr>
    </w:pPr>
    <w:r>
      <w:rPr>
        <w:noProof/>
      </w:rPr>
      <w:pict w14:anchorId="235F6308">
        <v:line id="Line 1" o:spid="_x0000_s2050" style="position:absolute;z-index:1;visibility:visible" from="-3.5pt,15.2pt" to="464.5pt,15.2pt"/>
      </w:pict>
    </w:r>
    <w:r w:rsidRPr="001839B8">
      <w:rPr>
        <w:rFonts w:cs="Times New Roman"/>
        <w:sz w:val="18"/>
        <w:szCs w:val="18"/>
      </w:rPr>
      <w:t>Mr. and Mrs. Affluent Client</w:t>
    </w:r>
    <w:r w:rsidRPr="001839B8">
      <w:rPr>
        <w:rFonts w:cs="Times New Roman"/>
        <w:sz w:val="18"/>
        <w:szCs w:val="18"/>
      </w:rPr>
      <w:tab/>
    </w:r>
    <w:r w:rsidR="00874F04">
      <w:rPr>
        <w:rFonts w:cs="Times New Roman"/>
        <w:sz w:val="18"/>
        <w:szCs w:val="18"/>
      </w:rPr>
      <w:t xml:space="preserve"> </w:t>
    </w:r>
    <w:r>
      <w:rPr>
        <w:rFonts w:cs="Times New Roman"/>
        <w:sz w:val="18"/>
        <w:szCs w:val="18"/>
      </w:rPr>
      <w:tab/>
    </w:r>
    <w:r w:rsidR="00874F04">
      <w:rPr>
        <w:rFonts w:cs="Times New Roman"/>
        <w:sz w:val="18"/>
        <w:szCs w:val="18"/>
      </w:rPr>
      <w:t xml:space="preserve">   </w:t>
    </w:r>
    <w:r>
      <w:rPr>
        <w:rFonts w:cs="Times New Roman"/>
        <w:sz w:val="18"/>
        <w:szCs w:val="18"/>
      </w:rPr>
      <w:t>March 1</w:t>
    </w:r>
    <w:r w:rsidRPr="001839B8">
      <w:rPr>
        <w:rFonts w:cs="Times New Roman"/>
        <w:sz w:val="18"/>
        <w:szCs w:val="18"/>
      </w:rPr>
      <w:t>,</w:t>
    </w:r>
    <w:r>
      <w:rPr>
        <w:rFonts w:cs="Times New Roman"/>
        <w:sz w:val="18"/>
        <w:szCs w:val="18"/>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8C43F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4F1C57"/>
    <w:multiLevelType w:val="hybridMultilevel"/>
    <w:tmpl w:val="C542E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98098B"/>
    <w:multiLevelType w:val="hybridMultilevel"/>
    <w:tmpl w:val="BA80456C"/>
    <w:lvl w:ilvl="0" w:tplc="13BC59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AD640E"/>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4" w15:restartNumberingAfterBreak="0">
    <w:nsid w:val="11C9037B"/>
    <w:multiLevelType w:val="hybridMultilevel"/>
    <w:tmpl w:val="72D4B89E"/>
    <w:lvl w:ilvl="0" w:tplc="CA001B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EE4728"/>
    <w:multiLevelType w:val="hybridMultilevel"/>
    <w:tmpl w:val="1CCE6E5E"/>
    <w:lvl w:ilvl="0" w:tplc="759C7F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4F585D"/>
    <w:multiLevelType w:val="multilevel"/>
    <w:tmpl w:val="E23CBEA2"/>
    <w:lvl w:ilvl="0">
      <w:start w:val="1"/>
      <w:numFmt w:val="bullet"/>
      <w:lvlText w:val=""/>
      <w:lvlJc w:val="left"/>
      <w:pPr>
        <w:tabs>
          <w:tab w:val="num" w:pos="864"/>
        </w:tabs>
        <w:ind w:left="864" w:hanging="144"/>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B097B"/>
    <w:multiLevelType w:val="hybridMultilevel"/>
    <w:tmpl w:val="CB701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D0F41"/>
    <w:multiLevelType w:val="hybridMultilevel"/>
    <w:tmpl w:val="E23CBEA2"/>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497D7B"/>
    <w:multiLevelType w:val="hybridMultilevel"/>
    <w:tmpl w:val="33F493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A54BE1"/>
    <w:multiLevelType w:val="hybridMultilevel"/>
    <w:tmpl w:val="834A38E8"/>
    <w:lvl w:ilvl="0" w:tplc="D34224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EC5516"/>
    <w:multiLevelType w:val="hybridMultilevel"/>
    <w:tmpl w:val="03342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102E52"/>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29094B"/>
    <w:multiLevelType w:val="hybridMultilevel"/>
    <w:tmpl w:val="4C2A7AC2"/>
    <w:lvl w:ilvl="0" w:tplc="205CE8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8F443C"/>
    <w:multiLevelType w:val="hybridMultilevel"/>
    <w:tmpl w:val="0A30237A"/>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40065"/>
    <w:multiLevelType w:val="hybridMultilevel"/>
    <w:tmpl w:val="8BDCFE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4DC0A5E"/>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5B22BC"/>
    <w:multiLevelType w:val="hybridMultilevel"/>
    <w:tmpl w:val="67A47DE6"/>
    <w:lvl w:ilvl="0" w:tplc="205CE8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629712D"/>
    <w:multiLevelType w:val="singleLevel"/>
    <w:tmpl w:val="2ECCB48C"/>
    <w:lvl w:ilvl="0">
      <w:start w:val="2"/>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394F5DAA"/>
    <w:multiLevelType w:val="hybridMultilevel"/>
    <w:tmpl w:val="32348372"/>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E36A38"/>
    <w:multiLevelType w:val="hybridMultilevel"/>
    <w:tmpl w:val="491ABF50"/>
    <w:lvl w:ilvl="0" w:tplc="835606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486BCC"/>
    <w:multiLevelType w:val="hybridMultilevel"/>
    <w:tmpl w:val="5A6C4594"/>
    <w:lvl w:ilvl="0" w:tplc="6C28CA4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ED1D68"/>
    <w:multiLevelType w:val="singleLevel"/>
    <w:tmpl w:val="C61E200C"/>
    <w:lvl w:ilvl="0">
      <w:start w:val="5"/>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44757B4D"/>
    <w:multiLevelType w:val="hybridMultilevel"/>
    <w:tmpl w:val="042EC5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8D27EC"/>
    <w:multiLevelType w:val="hybridMultilevel"/>
    <w:tmpl w:val="A2C4A1B6"/>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7270B8"/>
    <w:multiLevelType w:val="hybridMultilevel"/>
    <w:tmpl w:val="0706BE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271995"/>
    <w:multiLevelType w:val="hybridMultilevel"/>
    <w:tmpl w:val="53402A36"/>
    <w:lvl w:ilvl="0" w:tplc="34E6C4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B527A5"/>
    <w:multiLevelType w:val="hybridMultilevel"/>
    <w:tmpl w:val="28C6A4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842832"/>
    <w:multiLevelType w:val="hybridMultilevel"/>
    <w:tmpl w:val="63461446"/>
    <w:lvl w:ilvl="0" w:tplc="C0F2A5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EFC4C93"/>
    <w:multiLevelType w:val="singleLevel"/>
    <w:tmpl w:val="B3E4A87E"/>
    <w:lvl w:ilvl="0">
      <w:start w:val="4"/>
      <w:numFmt w:val="decimal"/>
      <w:lvlText w:val="%1."/>
      <w:legacy w:legacy="1" w:legacySpace="0" w:legacyIndent="360"/>
      <w:lvlJc w:val="left"/>
      <w:rPr>
        <w:rFonts w:ascii="Times New Roman" w:hAnsi="Times New Roman" w:cs="Times New Roman" w:hint="default"/>
      </w:rPr>
    </w:lvl>
  </w:abstractNum>
  <w:abstractNum w:abstractNumId="30" w15:restartNumberingAfterBreak="0">
    <w:nsid w:val="5304097D"/>
    <w:multiLevelType w:val="hybridMultilevel"/>
    <w:tmpl w:val="4C92064C"/>
    <w:lvl w:ilvl="0" w:tplc="F73A1734">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182F63"/>
    <w:multiLevelType w:val="singleLevel"/>
    <w:tmpl w:val="CD023E92"/>
    <w:lvl w:ilvl="0">
      <w:start w:val="1"/>
      <w:numFmt w:val="decimal"/>
      <w:lvlText w:val="%1"/>
      <w:legacy w:legacy="1" w:legacySpace="0" w:legacyIndent="360"/>
      <w:lvlJc w:val="left"/>
      <w:rPr>
        <w:rFonts w:ascii="Times New Roman" w:hAnsi="Times New Roman" w:cs="Times New Roman" w:hint="default"/>
      </w:rPr>
    </w:lvl>
  </w:abstractNum>
  <w:abstractNum w:abstractNumId="32" w15:restartNumberingAfterBreak="0">
    <w:nsid w:val="580757A3"/>
    <w:multiLevelType w:val="hybridMultilevel"/>
    <w:tmpl w:val="C6565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24E52"/>
    <w:multiLevelType w:val="hybridMultilevel"/>
    <w:tmpl w:val="D95080F0"/>
    <w:lvl w:ilvl="0" w:tplc="A5A408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24F293F"/>
    <w:multiLevelType w:val="hybridMultilevel"/>
    <w:tmpl w:val="29DA1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9C130D"/>
    <w:multiLevelType w:val="hybridMultilevel"/>
    <w:tmpl w:val="2EA6E6F4"/>
    <w:lvl w:ilvl="0" w:tplc="03DC8D24">
      <w:start w:val="1"/>
      <w:numFmt w:val="decimal"/>
      <w:lvlText w:val="%1."/>
      <w:lvlJc w:val="left"/>
      <w:pPr>
        <w:tabs>
          <w:tab w:val="num" w:pos="720"/>
        </w:tabs>
        <w:ind w:left="720" w:hanging="360"/>
      </w:pPr>
      <w:rPr>
        <w:rFonts w:hint="default"/>
      </w:rPr>
    </w:lvl>
    <w:lvl w:ilvl="1" w:tplc="63FC4E28">
      <w:start w:val="1"/>
      <w:numFmt w:val="bullet"/>
      <w:lvlText w:val=""/>
      <w:lvlJc w:val="left"/>
      <w:pPr>
        <w:tabs>
          <w:tab w:val="num" w:pos="720"/>
        </w:tabs>
        <w:ind w:left="720" w:hanging="360"/>
      </w:pPr>
      <w:rPr>
        <w:rFonts w:ascii="Symbol" w:hAnsi="Symbol" w:hint="default"/>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73F1900"/>
    <w:multiLevelType w:val="hybridMultilevel"/>
    <w:tmpl w:val="7B48FC3A"/>
    <w:lvl w:ilvl="0" w:tplc="B54E14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A7B40F7"/>
    <w:multiLevelType w:val="hybridMultilevel"/>
    <w:tmpl w:val="1CEE1C3C"/>
    <w:lvl w:ilvl="0" w:tplc="365E2FA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0C3106"/>
    <w:multiLevelType w:val="singleLevel"/>
    <w:tmpl w:val="D6AE902E"/>
    <w:lvl w:ilvl="0">
      <w:start w:val="3"/>
      <w:numFmt w:val="decimal"/>
      <w:lvlText w:val="%1."/>
      <w:legacy w:legacy="1" w:legacySpace="0" w:legacyIndent="360"/>
      <w:lvlJc w:val="left"/>
      <w:rPr>
        <w:rFonts w:ascii="Times New Roman" w:hAnsi="Times New Roman" w:cs="Times New Roman" w:hint="default"/>
      </w:rPr>
    </w:lvl>
  </w:abstractNum>
  <w:abstractNum w:abstractNumId="39" w15:restartNumberingAfterBreak="0">
    <w:nsid w:val="74703F32"/>
    <w:multiLevelType w:val="hybridMultilevel"/>
    <w:tmpl w:val="3FDAE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CE4E7C"/>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41" w15:restartNumberingAfterBreak="0">
    <w:nsid w:val="77C460FD"/>
    <w:multiLevelType w:val="hybridMultilevel"/>
    <w:tmpl w:val="34D675D4"/>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4097C"/>
    <w:multiLevelType w:val="hybridMultilevel"/>
    <w:tmpl w:val="11CC3852"/>
    <w:lvl w:ilvl="0" w:tplc="8FC854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0"/>
  </w:num>
  <w:num w:numId="2">
    <w:abstractNumId w:val="18"/>
  </w:num>
  <w:num w:numId="3">
    <w:abstractNumId w:val="38"/>
  </w:num>
  <w:num w:numId="4">
    <w:abstractNumId w:val="29"/>
  </w:num>
  <w:num w:numId="5">
    <w:abstractNumId w:val="22"/>
  </w:num>
  <w:num w:numId="6">
    <w:abstractNumId w:val="31"/>
  </w:num>
  <w:num w:numId="7">
    <w:abstractNumId w:val="31"/>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31"/>
    <w:lvlOverride w:ilvl="0">
      <w:lvl w:ilvl="0">
        <w:start w:val="3"/>
        <w:numFmt w:val="decimal"/>
        <w:lvlText w:val="%1"/>
        <w:legacy w:legacy="1" w:legacySpace="0" w:legacyIndent="360"/>
        <w:lvlJc w:val="left"/>
        <w:rPr>
          <w:rFonts w:ascii="Times New Roman" w:hAnsi="Times New Roman" w:cs="Times New Roman" w:hint="default"/>
        </w:rPr>
      </w:lvl>
    </w:lvlOverride>
  </w:num>
  <w:num w:numId="9">
    <w:abstractNumId w:val="31"/>
    <w:lvlOverride w:ilvl="0">
      <w:lvl w:ilvl="0">
        <w:start w:val="4"/>
        <w:numFmt w:val="decimal"/>
        <w:lvlText w:val="%1"/>
        <w:legacy w:legacy="1" w:legacySpace="0" w:legacyIndent="360"/>
        <w:lvlJc w:val="left"/>
        <w:rPr>
          <w:rFonts w:ascii="Times New Roman" w:hAnsi="Times New Roman" w:cs="Times New Roman" w:hint="default"/>
        </w:rPr>
      </w:lvl>
    </w:lvlOverride>
  </w:num>
  <w:num w:numId="10">
    <w:abstractNumId w:val="3"/>
  </w:num>
  <w:num w:numId="11">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3"/>
    <w:lvlOverride w:ilvl="0">
      <w:lvl w:ilvl="0">
        <w:start w:val="3"/>
        <w:numFmt w:val="decimal"/>
        <w:lvlText w:val="%1."/>
        <w:legacy w:legacy="1" w:legacySpace="0" w:legacyIndent="360"/>
        <w:lvlJc w:val="left"/>
        <w:rPr>
          <w:rFonts w:ascii="Times New Roman" w:hAnsi="Times New Roman" w:cs="Times New Roman" w:hint="default"/>
        </w:rPr>
      </w:lvl>
    </w:lvlOverride>
  </w:num>
  <w:num w:numId="13">
    <w:abstractNumId w:val="3"/>
    <w:lvlOverride w:ilvl="0">
      <w:lvl w:ilvl="0">
        <w:start w:val="4"/>
        <w:numFmt w:val="decimal"/>
        <w:lvlText w:val="%1."/>
        <w:legacy w:legacy="1" w:legacySpace="0" w:legacyIndent="360"/>
        <w:lvlJc w:val="left"/>
        <w:rPr>
          <w:rFonts w:ascii="Times New Roman" w:hAnsi="Times New Roman" w:cs="Times New Roman" w:hint="default"/>
        </w:rPr>
      </w:lvl>
    </w:lvlOverride>
  </w:num>
  <w:num w:numId="14">
    <w:abstractNumId w:val="3"/>
    <w:lvlOverride w:ilvl="0">
      <w:lvl w:ilvl="0">
        <w:start w:val="5"/>
        <w:numFmt w:val="decimal"/>
        <w:lvlText w:val="%1."/>
        <w:legacy w:legacy="1" w:legacySpace="0" w:legacyIndent="360"/>
        <w:lvlJc w:val="left"/>
        <w:rPr>
          <w:rFonts w:ascii="Times New Roman" w:hAnsi="Times New Roman" w:cs="Times New Roman" w:hint="default"/>
        </w:rPr>
      </w:lvl>
    </w:lvlOverride>
  </w:num>
  <w:num w:numId="15">
    <w:abstractNumId w:val="39"/>
  </w:num>
  <w:num w:numId="16">
    <w:abstractNumId w:val="36"/>
  </w:num>
  <w:num w:numId="17">
    <w:abstractNumId w:val="5"/>
  </w:num>
  <w:num w:numId="18">
    <w:abstractNumId w:val="33"/>
  </w:num>
  <w:num w:numId="19">
    <w:abstractNumId w:val="10"/>
  </w:num>
  <w:num w:numId="20">
    <w:abstractNumId w:val="26"/>
  </w:num>
  <w:num w:numId="21">
    <w:abstractNumId w:val="4"/>
  </w:num>
  <w:num w:numId="22">
    <w:abstractNumId w:val="28"/>
  </w:num>
  <w:num w:numId="23">
    <w:abstractNumId w:val="20"/>
  </w:num>
  <w:num w:numId="24">
    <w:abstractNumId w:val="42"/>
  </w:num>
  <w:num w:numId="25">
    <w:abstractNumId w:val="2"/>
  </w:num>
  <w:num w:numId="26">
    <w:abstractNumId w:val="17"/>
  </w:num>
  <w:num w:numId="27">
    <w:abstractNumId w:val="35"/>
  </w:num>
  <w:num w:numId="28">
    <w:abstractNumId w:val="16"/>
  </w:num>
  <w:num w:numId="29">
    <w:abstractNumId w:val="9"/>
  </w:num>
  <w:num w:numId="30">
    <w:abstractNumId w:val="15"/>
  </w:num>
  <w:num w:numId="31">
    <w:abstractNumId w:val="41"/>
  </w:num>
  <w:num w:numId="32">
    <w:abstractNumId w:val="8"/>
  </w:num>
  <w:num w:numId="33">
    <w:abstractNumId w:val="12"/>
  </w:num>
  <w:num w:numId="34">
    <w:abstractNumId w:val="6"/>
  </w:num>
  <w:num w:numId="35">
    <w:abstractNumId w:val="14"/>
  </w:num>
  <w:num w:numId="36">
    <w:abstractNumId w:val="19"/>
  </w:num>
  <w:num w:numId="37">
    <w:abstractNumId w:val="24"/>
  </w:num>
  <w:num w:numId="38">
    <w:abstractNumId w:val="11"/>
  </w:num>
  <w:num w:numId="39">
    <w:abstractNumId w:val="1"/>
  </w:num>
  <w:num w:numId="40">
    <w:abstractNumId w:val="23"/>
  </w:num>
  <w:num w:numId="41">
    <w:abstractNumId w:val="21"/>
  </w:num>
  <w:num w:numId="42">
    <w:abstractNumId w:val="32"/>
  </w:num>
  <w:num w:numId="43">
    <w:abstractNumId w:val="25"/>
  </w:num>
  <w:num w:numId="44">
    <w:abstractNumId w:val="7"/>
  </w:num>
  <w:num w:numId="45">
    <w:abstractNumId w:val="34"/>
  </w:num>
  <w:num w:numId="46">
    <w:abstractNumId w:val="27"/>
  </w:num>
  <w:num w:numId="47">
    <w:abstractNumId w:val="30"/>
  </w:num>
  <w:num w:numId="48">
    <w:abstractNumId w:val="37"/>
  </w:num>
  <w:num w:numId="49">
    <w:abstractNumId w:val="13"/>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3B879EE1-862C-4A70-B69D-B0F48A1CE3F1}"/>
    <w:docVar w:name="dgnword-eventsink" w:val="59800416"/>
  </w:docVars>
  <w:rsids>
    <w:rsidRoot w:val="004A17AE"/>
    <w:rsid w:val="00007855"/>
    <w:rsid w:val="00014FD7"/>
    <w:rsid w:val="0001761D"/>
    <w:rsid w:val="000229BC"/>
    <w:rsid w:val="00026720"/>
    <w:rsid w:val="00043E97"/>
    <w:rsid w:val="000640EA"/>
    <w:rsid w:val="00064532"/>
    <w:rsid w:val="000727E3"/>
    <w:rsid w:val="00072D0A"/>
    <w:rsid w:val="000760DE"/>
    <w:rsid w:val="0007641E"/>
    <w:rsid w:val="00077B59"/>
    <w:rsid w:val="00077EC5"/>
    <w:rsid w:val="000858C3"/>
    <w:rsid w:val="00091FBE"/>
    <w:rsid w:val="0009273F"/>
    <w:rsid w:val="000941F4"/>
    <w:rsid w:val="000948C4"/>
    <w:rsid w:val="000A134B"/>
    <w:rsid w:val="000B4FDF"/>
    <w:rsid w:val="000B6717"/>
    <w:rsid w:val="000C682B"/>
    <w:rsid w:val="000C7D44"/>
    <w:rsid w:val="000D42E0"/>
    <w:rsid w:val="000D6694"/>
    <w:rsid w:val="000D733A"/>
    <w:rsid w:val="000D76FE"/>
    <w:rsid w:val="000E6D21"/>
    <w:rsid w:val="000F26D5"/>
    <w:rsid w:val="000F3A06"/>
    <w:rsid w:val="000F7558"/>
    <w:rsid w:val="001031B7"/>
    <w:rsid w:val="00107B48"/>
    <w:rsid w:val="00107E4E"/>
    <w:rsid w:val="001112FD"/>
    <w:rsid w:val="00114EBB"/>
    <w:rsid w:val="00116476"/>
    <w:rsid w:val="0012257F"/>
    <w:rsid w:val="001234B2"/>
    <w:rsid w:val="00132B81"/>
    <w:rsid w:val="0013376F"/>
    <w:rsid w:val="001462F2"/>
    <w:rsid w:val="00150FA3"/>
    <w:rsid w:val="00150FA5"/>
    <w:rsid w:val="001510C8"/>
    <w:rsid w:val="00152C72"/>
    <w:rsid w:val="0016049D"/>
    <w:rsid w:val="0016273D"/>
    <w:rsid w:val="00167A71"/>
    <w:rsid w:val="001745FA"/>
    <w:rsid w:val="00176B85"/>
    <w:rsid w:val="00176DB5"/>
    <w:rsid w:val="00185FE8"/>
    <w:rsid w:val="00190F67"/>
    <w:rsid w:val="0019103D"/>
    <w:rsid w:val="001933FC"/>
    <w:rsid w:val="00193A5A"/>
    <w:rsid w:val="00195661"/>
    <w:rsid w:val="001A314E"/>
    <w:rsid w:val="001A671E"/>
    <w:rsid w:val="001B1F39"/>
    <w:rsid w:val="001B2A66"/>
    <w:rsid w:val="001B7D01"/>
    <w:rsid w:val="001C42AD"/>
    <w:rsid w:val="001C7A91"/>
    <w:rsid w:val="001D2722"/>
    <w:rsid w:val="001D5881"/>
    <w:rsid w:val="001E0EA9"/>
    <w:rsid w:val="001E4AA8"/>
    <w:rsid w:val="001F5842"/>
    <w:rsid w:val="00203B93"/>
    <w:rsid w:val="0020780E"/>
    <w:rsid w:val="00212566"/>
    <w:rsid w:val="00215DC1"/>
    <w:rsid w:val="0021654A"/>
    <w:rsid w:val="00220F9C"/>
    <w:rsid w:val="002217AA"/>
    <w:rsid w:val="00222EE0"/>
    <w:rsid w:val="002275AE"/>
    <w:rsid w:val="00232C8D"/>
    <w:rsid w:val="00235A0E"/>
    <w:rsid w:val="00235F98"/>
    <w:rsid w:val="00242B13"/>
    <w:rsid w:val="00244546"/>
    <w:rsid w:val="002455AD"/>
    <w:rsid w:val="00247255"/>
    <w:rsid w:val="00251FDA"/>
    <w:rsid w:val="00263E25"/>
    <w:rsid w:val="0028699D"/>
    <w:rsid w:val="0028710E"/>
    <w:rsid w:val="002952A6"/>
    <w:rsid w:val="002A41B9"/>
    <w:rsid w:val="002B393E"/>
    <w:rsid w:val="002B3B75"/>
    <w:rsid w:val="002C1A5D"/>
    <w:rsid w:val="002D1235"/>
    <w:rsid w:val="002D3749"/>
    <w:rsid w:val="002E03AD"/>
    <w:rsid w:val="002E5722"/>
    <w:rsid w:val="002E71C4"/>
    <w:rsid w:val="002F1ED7"/>
    <w:rsid w:val="002F7070"/>
    <w:rsid w:val="003008B5"/>
    <w:rsid w:val="003076D8"/>
    <w:rsid w:val="0031248A"/>
    <w:rsid w:val="0031335E"/>
    <w:rsid w:val="0032049E"/>
    <w:rsid w:val="00325FE2"/>
    <w:rsid w:val="00333C9A"/>
    <w:rsid w:val="00336808"/>
    <w:rsid w:val="0033684C"/>
    <w:rsid w:val="0034390F"/>
    <w:rsid w:val="00346A33"/>
    <w:rsid w:val="00362157"/>
    <w:rsid w:val="00371459"/>
    <w:rsid w:val="00382110"/>
    <w:rsid w:val="00391254"/>
    <w:rsid w:val="00394F28"/>
    <w:rsid w:val="00395949"/>
    <w:rsid w:val="003A4B8B"/>
    <w:rsid w:val="003A4F64"/>
    <w:rsid w:val="003A7DDA"/>
    <w:rsid w:val="003B1DDE"/>
    <w:rsid w:val="003B4174"/>
    <w:rsid w:val="003C50F3"/>
    <w:rsid w:val="003C69BE"/>
    <w:rsid w:val="003D42A5"/>
    <w:rsid w:val="003D4BD2"/>
    <w:rsid w:val="003D5E57"/>
    <w:rsid w:val="003D767D"/>
    <w:rsid w:val="003E0FE3"/>
    <w:rsid w:val="003E1DCE"/>
    <w:rsid w:val="003F5F51"/>
    <w:rsid w:val="0040455A"/>
    <w:rsid w:val="004051BE"/>
    <w:rsid w:val="00410143"/>
    <w:rsid w:val="00414DEA"/>
    <w:rsid w:val="00417BD6"/>
    <w:rsid w:val="0042070A"/>
    <w:rsid w:val="004247E3"/>
    <w:rsid w:val="00427583"/>
    <w:rsid w:val="00435DF1"/>
    <w:rsid w:val="0043627A"/>
    <w:rsid w:val="0044140A"/>
    <w:rsid w:val="00442CF5"/>
    <w:rsid w:val="00444831"/>
    <w:rsid w:val="00445389"/>
    <w:rsid w:val="00446873"/>
    <w:rsid w:val="004663E6"/>
    <w:rsid w:val="004712D8"/>
    <w:rsid w:val="00471425"/>
    <w:rsid w:val="00474BAF"/>
    <w:rsid w:val="004818A8"/>
    <w:rsid w:val="0048576F"/>
    <w:rsid w:val="00486FF7"/>
    <w:rsid w:val="0049112C"/>
    <w:rsid w:val="004945E0"/>
    <w:rsid w:val="00497040"/>
    <w:rsid w:val="004A17AE"/>
    <w:rsid w:val="004B23CE"/>
    <w:rsid w:val="004B3553"/>
    <w:rsid w:val="004B3A88"/>
    <w:rsid w:val="004B73C7"/>
    <w:rsid w:val="004C4340"/>
    <w:rsid w:val="004D1BBF"/>
    <w:rsid w:val="004D280E"/>
    <w:rsid w:val="004D67A8"/>
    <w:rsid w:val="004E17DC"/>
    <w:rsid w:val="004E459D"/>
    <w:rsid w:val="004E6969"/>
    <w:rsid w:val="004F0132"/>
    <w:rsid w:val="004F600F"/>
    <w:rsid w:val="00501A62"/>
    <w:rsid w:val="00501E73"/>
    <w:rsid w:val="00501F4F"/>
    <w:rsid w:val="005024C9"/>
    <w:rsid w:val="00507DD9"/>
    <w:rsid w:val="00507E41"/>
    <w:rsid w:val="00513479"/>
    <w:rsid w:val="005147D8"/>
    <w:rsid w:val="00517CBE"/>
    <w:rsid w:val="0052182E"/>
    <w:rsid w:val="00523F6D"/>
    <w:rsid w:val="00525B3A"/>
    <w:rsid w:val="00526C35"/>
    <w:rsid w:val="005271A9"/>
    <w:rsid w:val="00527957"/>
    <w:rsid w:val="005428BF"/>
    <w:rsid w:val="00545729"/>
    <w:rsid w:val="00553B51"/>
    <w:rsid w:val="0056042B"/>
    <w:rsid w:val="00562534"/>
    <w:rsid w:val="00566110"/>
    <w:rsid w:val="00571083"/>
    <w:rsid w:val="005729C5"/>
    <w:rsid w:val="005767FA"/>
    <w:rsid w:val="005852E9"/>
    <w:rsid w:val="00585D11"/>
    <w:rsid w:val="00586ABF"/>
    <w:rsid w:val="00593FC1"/>
    <w:rsid w:val="005966E3"/>
    <w:rsid w:val="005A55C1"/>
    <w:rsid w:val="005A63F1"/>
    <w:rsid w:val="005A72F9"/>
    <w:rsid w:val="005B105A"/>
    <w:rsid w:val="005B1684"/>
    <w:rsid w:val="005B4F4B"/>
    <w:rsid w:val="005C091D"/>
    <w:rsid w:val="005C1C4E"/>
    <w:rsid w:val="005C1D77"/>
    <w:rsid w:val="005C2178"/>
    <w:rsid w:val="005C3D2E"/>
    <w:rsid w:val="005C7933"/>
    <w:rsid w:val="005D306C"/>
    <w:rsid w:val="005D5FE8"/>
    <w:rsid w:val="005E1B70"/>
    <w:rsid w:val="005E67FF"/>
    <w:rsid w:val="005E7D67"/>
    <w:rsid w:val="005F094B"/>
    <w:rsid w:val="005F171E"/>
    <w:rsid w:val="005F3E09"/>
    <w:rsid w:val="00615BAD"/>
    <w:rsid w:val="00624140"/>
    <w:rsid w:val="00627037"/>
    <w:rsid w:val="00632D13"/>
    <w:rsid w:val="006428C3"/>
    <w:rsid w:val="00652F6A"/>
    <w:rsid w:val="00660423"/>
    <w:rsid w:val="00666209"/>
    <w:rsid w:val="00671A15"/>
    <w:rsid w:val="00680881"/>
    <w:rsid w:val="00695768"/>
    <w:rsid w:val="006A18CA"/>
    <w:rsid w:val="006A3690"/>
    <w:rsid w:val="006B50CE"/>
    <w:rsid w:val="006C2071"/>
    <w:rsid w:val="006C66A8"/>
    <w:rsid w:val="006C7CD2"/>
    <w:rsid w:val="006D0E14"/>
    <w:rsid w:val="006D3277"/>
    <w:rsid w:val="006D34DA"/>
    <w:rsid w:val="006E4A08"/>
    <w:rsid w:val="006F1541"/>
    <w:rsid w:val="006F2D39"/>
    <w:rsid w:val="00701B9C"/>
    <w:rsid w:val="007054B8"/>
    <w:rsid w:val="00711651"/>
    <w:rsid w:val="00714620"/>
    <w:rsid w:val="007250DD"/>
    <w:rsid w:val="0072700D"/>
    <w:rsid w:val="00730301"/>
    <w:rsid w:val="00737FB4"/>
    <w:rsid w:val="0074301D"/>
    <w:rsid w:val="0074327E"/>
    <w:rsid w:val="007505AB"/>
    <w:rsid w:val="007506F6"/>
    <w:rsid w:val="00762303"/>
    <w:rsid w:val="007635E5"/>
    <w:rsid w:val="0077153C"/>
    <w:rsid w:val="00771AB1"/>
    <w:rsid w:val="007725CA"/>
    <w:rsid w:val="00780A26"/>
    <w:rsid w:val="00781993"/>
    <w:rsid w:val="00782AA1"/>
    <w:rsid w:val="00786D1B"/>
    <w:rsid w:val="00790C3D"/>
    <w:rsid w:val="00791347"/>
    <w:rsid w:val="00792A4A"/>
    <w:rsid w:val="007A2E08"/>
    <w:rsid w:val="007B4601"/>
    <w:rsid w:val="007C61B3"/>
    <w:rsid w:val="007D22F1"/>
    <w:rsid w:val="007D628B"/>
    <w:rsid w:val="007D79B4"/>
    <w:rsid w:val="007D7ED0"/>
    <w:rsid w:val="007E7962"/>
    <w:rsid w:val="007F1417"/>
    <w:rsid w:val="007F1D29"/>
    <w:rsid w:val="007F3D24"/>
    <w:rsid w:val="00800104"/>
    <w:rsid w:val="0080024A"/>
    <w:rsid w:val="00802EDD"/>
    <w:rsid w:val="0080334C"/>
    <w:rsid w:val="008121EE"/>
    <w:rsid w:val="008145AD"/>
    <w:rsid w:val="00814814"/>
    <w:rsid w:val="00815D0A"/>
    <w:rsid w:val="00821EBC"/>
    <w:rsid w:val="00823966"/>
    <w:rsid w:val="008364F4"/>
    <w:rsid w:val="008365E2"/>
    <w:rsid w:val="00836B0E"/>
    <w:rsid w:val="008370B2"/>
    <w:rsid w:val="00840F6B"/>
    <w:rsid w:val="008459F8"/>
    <w:rsid w:val="00851791"/>
    <w:rsid w:val="00853CC1"/>
    <w:rsid w:val="00857AD2"/>
    <w:rsid w:val="008622BB"/>
    <w:rsid w:val="00865A48"/>
    <w:rsid w:val="00866232"/>
    <w:rsid w:val="00872BD3"/>
    <w:rsid w:val="00874F04"/>
    <w:rsid w:val="00877715"/>
    <w:rsid w:val="00877A65"/>
    <w:rsid w:val="00884F00"/>
    <w:rsid w:val="00887AEB"/>
    <w:rsid w:val="008978AD"/>
    <w:rsid w:val="008A52B3"/>
    <w:rsid w:val="008D6126"/>
    <w:rsid w:val="008D7D35"/>
    <w:rsid w:val="008E29DF"/>
    <w:rsid w:val="008F03A1"/>
    <w:rsid w:val="008F0C97"/>
    <w:rsid w:val="008F1233"/>
    <w:rsid w:val="008F6755"/>
    <w:rsid w:val="008F752D"/>
    <w:rsid w:val="00901DAB"/>
    <w:rsid w:val="00901DCF"/>
    <w:rsid w:val="00910027"/>
    <w:rsid w:val="00915BEF"/>
    <w:rsid w:val="00916EB8"/>
    <w:rsid w:val="009172AD"/>
    <w:rsid w:val="0093351E"/>
    <w:rsid w:val="0094031F"/>
    <w:rsid w:val="00943A95"/>
    <w:rsid w:val="00947566"/>
    <w:rsid w:val="0095463C"/>
    <w:rsid w:val="00966E7B"/>
    <w:rsid w:val="00967AA4"/>
    <w:rsid w:val="00971B77"/>
    <w:rsid w:val="00980C21"/>
    <w:rsid w:val="00990A15"/>
    <w:rsid w:val="009A3E2C"/>
    <w:rsid w:val="009B16D6"/>
    <w:rsid w:val="009B301A"/>
    <w:rsid w:val="009B348B"/>
    <w:rsid w:val="009C5E4F"/>
    <w:rsid w:val="009D2600"/>
    <w:rsid w:val="009D6ABB"/>
    <w:rsid w:val="009D7BAF"/>
    <w:rsid w:val="009E20E6"/>
    <w:rsid w:val="009F0A93"/>
    <w:rsid w:val="009F29B5"/>
    <w:rsid w:val="00A10718"/>
    <w:rsid w:val="00A14625"/>
    <w:rsid w:val="00A21FF1"/>
    <w:rsid w:val="00A22F65"/>
    <w:rsid w:val="00A26007"/>
    <w:rsid w:val="00A341FF"/>
    <w:rsid w:val="00A347C3"/>
    <w:rsid w:val="00A45A32"/>
    <w:rsid w:val="00A516FD"/>
    <w:rsid w:val="00A64212"/>
    <w:rsid w:val="00A70960"/>
    <w:rsid w:val="00A71A1D"/>
    <w:rsid w:val="00A73C61"/>
    <w:rsid w:val="00A73EC8"/>
    <w:rsid w:val="00A908F4"/>
    <w:rsid w:val="00A91939"/>
    <w:rsid w:val="00A91BAE"/>
    <w:rsid w:val="00A927EE"/>
    <w:rsid w:val="00A972E4"/>
    <w:rsid w:val="00AA11E1"/>
    <w:rsid w:val="00AA7823"/>
    <w:rsid w:val="00AC17C9"/>
    <w:rsid w:val="00AC326F"/>
    <w:rsid w:val="00AC7C1B"/>
    <w:rsid w:val="00AD635D"/>
    <w:rsid w:val="00AD716A"/>
    <w:rsid w:val="00AE2173"/>
    <w:rsid w:val="00AE41F0"/>
    <w:rsid w:val="00AF151B"/>
    <w:rsid w:val="00AF3457"/>
    <w:rsid w:val="00AF75F2"/>
    <w:rsid w:val="00B01CF7"/>
    <w:rsid w:val="00B01DD8"/>
    <w:rsid w:val="00B0313B"/>
    <w:rsid w:val="00B039DB"/>
    <w:rsid w:val="00B04C2F"/>
    <w:rsid w:val="00B13D1C"/>
    <w:rsid w:val="00B1595C"/>
    <w:rsid w:val="00B206C7"/>
    <w:rsid w:val="00B27B17"/>
    <w:rsid w:val="00B30C7E"/>
    <w:rsid w:val="00B34831"/>
    <w:rsid w:val="00B3537F"/>
    <w:rsid w:val="00B372D6"/>
    <w:rsid w:val="00B3762A"/>
    <w:rsid w:val="00B4488E"/>
    <w:rsid w:val="00B532A1"/>
    <w:rsid w:val="00B63AD3"/>
    <w:rsid w:val="00B66478"/>
    <w:rsid w:val="00B72952"/>
    <w:rsid w:val="00B8178C"/>
    <w:rsid w:val="00B869B9"/>
    <w:rsid w:val="00B872AF"/>
    <w:rsid w:val="00B9421B"/>
    <w:rsid w:val="00B95FA0"/>
    <w:rsid w:val="00BB4F2F"/>
    <w:rsid w:val="00BB6673"/>
    <w:rsid w:val="00BC787A"/>
    <w:rsid w:val="00BD2734"/>
    <w:rsid w:val="00BD286A"/>
    <w:rsid w:val="00BD390E"/>
    <w:rsid w:val="00BE07D7"/>
    <w:rsid w:val="00BE30D7"/>
    <w:rsid w:val="00BE506F"/>
    <w:rsid w:val="00BE621E"/>
    <w:rsid w:val="00BF286C"/>
    <w:rsid w:val="00C045D1"/>
    <w:rsid w:val="00C1234D"/>
    <w:rsid w:val="00C14357"/>
    <w:rsid w:val="00C17ED9"/>
    <w:rsid w:val="00C208A1"/>
    <w:rsid w:val="00C215C4"/>
    <w:rsid w:val="00C237AA"/>
    <w:rsid w:val="00C24A78"/>
    <w:rsid w:val="00C34A1D"/>
    <w:rsid w:val="00C4222F"/>
    <w:rsid w:val="00C42393"/>
    <w:rsid w:val="00C52F92"/>
    <w:rsid w:val="00C56D51"/>
    <w:rsid w:val="00C621EF"/>
    <w:rsid w:val="00C80FAA"/>
    <w:rsid w:val="00C869AB"/>
    <w:rsid w:val="00C87759"/>
    <w:rsid w:val="00C90B06"/>
    <w:rsid w:val="00C93507"/>
    <w:rsid w:val="00C941D5"/>
    <w:rsid w:val="00CA67B2"/>
    <w:rsid w:val="00CB2136"/>
    <w:rsid w:val="00CB3D21"/>
    <w:rsid w:val="00CC4D2A"/>
    <w:rsid w:val="00CD09D0"/>
    <w:rsid w:val="00CD740F"/>
    <w:rsid w:val="00CE1694"/>
    <w:rsid w:val="00CE7E25"/>
    <w:rsid w:val="00CF0801"/>
    <w:rsid w:val="00CF4113"/>
    <w:rsid w:val="00D06BCB"/>
    <w:rsid w:val="00D103FD"/>
    <w:rsid w:val="00D10FA0"/>
    <w:rsid w:val="00D12101"/>
    <w:rsid w:val="00D12F78"/>
    <w:rsid w:val="00D1568B"/>
    <w:rsid w:val="00D23C66"/>
    <w:rsid w:val="00D30CC3"/>
    <w:rsid w:val="00D3120E"/>
    <w:rsid w:val="00D31215"/>
    <w:rsid w:val="00D42833"/>
    <w:rsid w:val="00D455C7"/>
    <w:rsid w:val="00D52008"/>
    <w:rsid w:val="00D54FE2"/>
    <w:rsid w:val="00D631E4"/>
    <w:rsid w:val="00D65214"/>
    <w:rsid w:val="00D801C4"/>
    <w:rsid w:val="00D82136"/>
    <w:rsid w:val="00D82270"/>
    <w:rsid w:val="00D85363"/>
    <w:rsid w:val="00D86AD4"/>
    <w:rsid w:val="00D90741"/>
    <w:rsid w:val="00D96210"/>
    <w:rsid w:val="00DA0B97"/>
    <w:rsid w:val="00DA3007"/>
    <w:rsid w:val="00DB1928"/>
    <w:rsid w:val="00DB6DB2"/>
    <w:rsid w:val="00DC1ACA"/>
    <w:rsid w:val="00DC1BFC"/>
    <w:rsid w:val="00DE462B"/>
    <w:rsid w:val="00E00F62"/>
    <w:rsid w:val="00E02106"/>
    <w:rsid w:val="00E06041"/>
    <w:rsid w:val="00E33209"/>
    <w:rsid w:val="00E3635D"/>
    <w:rsid w:val="00E42893"/>
    <w:rsid w:val="00E54593"/>
    <w:rsid w:val="00E668B7"/>
    <w:rsid w:val="00E66FAB"/>
    <w:rsid w:val="00E7643E"/>
    <w:rsid w:val="00E807A6"/>
    <w:rsid w:val="00E80EE7"/>
    <w:rsid w:val="00E853B3"/>
    <w:rsid w:val="00E914DF"/>
    <w:rsid w:val="00E96D65"/>
    <w:rsid w:val="00EA0D84"/>
    <w:rsid w:val="00EA0EC4"/>
    <w:rsid w:val="00EA1854"/>
    <w:rsid w:val="00EA2D44"/>
    <w:rsid w:val="00EB0FA9"/>
    <w:rsid w:val="00EB4A49"/>
    <w:rsid w:val="00EB4A78"/>
    <w:rsid w:val="00EC3EEE"/>
    <w:rsid w:val="00EC4A50"/>
    <w:rsid w:val="00EC583C"/>
    <w:rsid w:val="00EE169F"/>
    <w:rsid w:val="00EE4236"/>
    <w:rsid w:val="00EE53F9"/>
    <w:rsid w:val="00EE63F5"/>
    <w:rsid w:val="00EF2992"/>
    <w:rsid w:val="00EF3400"/>
    <w:rsid w:val="00F05F58"/>
    <w:rsid w:val="00F10016"/>
    <w:rsid w:val="00F145BD"/>
    <w:rsid w:val="00F23073"/>
    <w:rsid w:val="00F3451B"/>
    <w:rsid w:val="00F34C44"/>
    <w:rsid w:val="00F375FF"/>
    <w:rsid w:val="00F427DB"/>
    <w:rsid w:val="00F46D1D"/>
    <w:rsid w:val="00F62443"/>
    <w:rsid w:val="00F6289E"/>
    <w:rsid w:val="00F63978"/>
    <w:rsid w:val="00F6409E"/>
    <w:rsid w:val="00F6626A"/>
    <w:rsid w:val="00F72A55"/>
    <w:rsid w:val="00F72A80"/>
    <w:rsid w:val="00F74243"/>
    <w:rsid w:val="00F819F8"/>
    <w:rsid w:val="00F82968"/>
    <w:rsid w:val="00F83A22"/>
    <w:rsid w:val="00F843AD"/>
    <w:rsid w:val="00F85AA0"/>
    <w:rsid w:val="00F8633A"/>
    <w:rsid w:val="00F91C91"/>
    <w:rsid w:val="00FA0010"/>
    <w:rsid w:val="00FA6106"/>
    <w:rsid w:val="00FB5074"/>
    <w:rsid w:val="00FC0A10"/>
    <w:rsid w:val="00FC1097"/>
    <w:rsid w:val="00FC6B9E"/>
    <w:rsid w:val="00FC794B"/>
    <w:rsid w:val="00FC7A34"/>
    <w:rsid w:val="00FE0423"/>
    <w:rsid w:val="00FE4478"/>
    <w:rsid w:val="00FF1B77"/>
    <w:rsid w:val="00FF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4:docId w14:val="7973EE35"/>
  <w15:chartTrackingRefBased/>
  <w15:docId w15:val="{9A251B1F-2E5C-4DFD-98DC-D7C0072ED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184"/>
    <w:pPr>
      <w:widowControl w:val="0"/>
      <w:autoSpaceDE w:val="0"/>
      <w:autoSpaceDN w:val="0"/>
      <w:adjustRightInd w:val="0"/>
    </w:pPr>
    <w:rPr>
      <w:rFonts w:cs="Arial"/>
      <w:szCs w:val="24"/>
    </w:rPr>
  </w:style>
  <w:style w:type="paragraph" w:styleId="Heading1">
    <w:name w:val="heading 1"/>
    <w:basedOn w:val="Normal"/>
    <w:next w:val="Normal"/>
    <w:qFormat/>
    <w:rsid w:val="001E095A"/>
    <w:pPr>
      <w:spacing w:before="120" w:after="60"/>
      <w:outlineLvl w:val="0"/>
    </w:pPr>
    <w:rPr>
      <w:b/>
      <w:sz w:val="32"/>
    </w:rPr>
  </w:style>
  <w:style w:type="paragraph" w:styleId="Heading2">
    <w:name w:val="heading 2"/>
    <w:basedOn w:val="Normal"/>
    <w:next w:val="Normal"/>
    <w:qFormat/>
    <w:rsid w:val="001E095A"/>
    <w:pPr>
      <w:spacing w:before="240" w:after="60"/>
      <w:outlineLvl w:val="1"/>
    </w:pPr>
    <w:rPr>
      <w:b/>
      <w:sz w:val="26"/>
    </w:rPr>
  </w:style>
  <w:style w:type="paragraph" w:styleId="Heading3">
    <w:name w:val="heading 3"/>
    <w:basedOn w:val="Normal"/>
    <w:next w:val="Normal"/>
    <w:qFormat/>
    <w:rsid w:val="001E095A"/>
    <w:pPr>
      <w:spacing w:before="240" w:after="60"/>
      <w:ind w:left="7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3F12"/>
    <w:pPr>
      <w:tabs>
        <w:tab w:val="center" w:pos="4320"/>
        <w:tab w:val="right" w:pos="8640"/>
      </w:tabs>
    </w:pPr>
  </w:style>
  <w:style w:type="paragraph" w:styleId="Footer">
    <w:name w:val="footer"/>
    <w:basedOn w:val="Normal"/>
    <w:rsid w:val="002D3F12"/>
    <w:pPr>
      <w:tabs>
        <w:tab w:val="center" w:pos="4320"/>
        <w:tab w:val="right" w:pos="8640"/>
      </w:tabs>
    </w:pPr>
  </w:style>
  <w:style w:type="character" w:styleId="PageNumber">
    <w:name w:val="page number"/>
    <w:basedOn w:val="DefaultParagraphFont"/>
    <w:rsid w:val="001839B8"/>
  </w:style>
  <w:style w:type="paragraph" w:styleId="TOC1">
    <w:name w:val="toc 1"/>
    <w:basedOn w:val="Normal"/>
    <w:next w:val="Normal"/>
    <w:autoRedefine/>
    <w:uiPriority w:val="39"/>
    <w:rsid w:val="005764D7"/>
  </w:style>
  <w:style w:type="paragraph" w:styleId="TOC2">
    <w:name w:val="toc 2"/>
    <w:basedOn w:val="Normal"/>
    <w:next w:val="Normal"/>
    <w:autoRedefine/>
    <w:uiPriority w:val="39"/>
    <w:rsid w:val="005764D7"/>
    <w:pPr>
      <w:ind w:left="200"/>
    </w:pPr>
  </w:style>
  <w:style w:type="character" w:styleId="Hyperlink">
    <w:name w:val="Hyperlink"/>
    <w:uiPriority w:val="99"/>
    <w:rsid w:val="005764D7"/>
    <w:rPr>
      <w:color w:val="0000FF"/>
      <w:u w:val="single"/>
    </w:rPr>
  </w:style>
  <w:style w:type="paragraph" w:styleId="FootnoteText">
    <w:name w:val="footnote text"/>
    <w:basedOn w:val="Normal"/>
    <w:link w:val="FootnoteTextChar"/>
    <w:semiHidden/>
    <w:rsid w:val="00D2422E"/>
    <w:rPr>
      <w:szCs w:val="20"/>
    </w:rPr>
  </w:style>
  <w:style w:type="character" w:styleId="FootnoteReference">
    <w:name w:val="footnote reference"/>
    <w:semiHidden/>
    <w:rsid w:val="00D2422E"/>
    <w:rPr>
      <w:vertAlign w:val="superscript"/>
    </w:rPr>
  </w:style>
  <w:style w:type="character" w:customStyle="1" w:styleId="FootnoteTextChar">
    <w:name w:val="Footnote Text Char"/>
    <w:link w:val="FootnoteText"/>
    <w:rsid w:val="009E6BF0"/>
    <w:rPr>
      <w:rFonts w:cs="Arial"/>
      <w:lang w:val="en-US" w:eastAsia="en-US" w:bidi="ar-SA"/>
    </w:rPr>
  </w:style>
  <w:style w:type="table" w:styleId="TableGrid">
    <w:name w:val="Table Grid"/>
    <w:basedOn w:val="TableNormal"/>
    <w:rsid w:val="003C57D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D7C47"/>
    <w:rPr>
      <w:rFonts w:ascii="Tahoma" w:hAnsi="Tahoma" w:cs="Tahoma"/>
      <w:sz w:val="16"/>
      <w:szCs w:val="16"/>
    </w:rPr>
  </w:style>
  <w:style w:type="character" w:styleId="CommentReference">
    <w:name w:val="annotation reference"/>
    <w:semiHidden/>
    <w:rsid w:val="0064743A"/>
    <w:rPr>
      <w:sz w:val="16"/>
      <w:szCs w:val="16"/>
    </w:rPr>
  </w:style>
  <w:style w:type="paragraph" w:styleId="CommentText">
    <w:name w:val="annotation text"/>
    <w:basedOn w:val="Normal"/>
    <w:semiHidden/>
    <w:rsid w:val="0064743A"/>
    <w:rPr>
      <w:szCs w:val="20"/>
    </w:rPr>
  </w:style>
  <w:style w:type="paragraph" w:styleId="CommentSubject">
    <w:name w:val="annotation subject"/>
    <w:basedOn w:val="CommentText"/>
    <w:next w:val="CommentText"/>
    <w:semiHidden/>
    <w:rsid w:val="0064743A"/>
    <w:rPr>
      <w:b/>
      <w:bCs/>
    </w:rPr>
  </w:style>
  <w:style w:type="paragraph" w:styleId="NormalWeb">
    <w:name w:val="Normal (Web)"/>
    <w:basedOn w:val="Normal"/>
    <w:uiPriority w:val="99"/>
    <w:semiHidden/>
    <w:unhideWhenUsed/>
    <w:rsid w:val="00507E41"/>
    <w:pPr>
      <w:widowControl/>
      <w:autoSpaceDE/>
      <w:autoSpaceDN/>
      <w:adjustRightInd/>
      <w:spacing w:before="100" w:beforeAutospacing="1" w:after="100" w:afterAutospacing="1"/>
    </w:pPr>
    <w:rPr>
      <w:rFonts w:cs="Times New Roman"/>
      <w:sz w:val="24"/>
    </w:rPr>
  </w:style>
  <w:style w:type="paragraph" w:customStyle="1" w:styleId="ColorfulShading-Accent11">
    <w:name w:val="Colorful Shading - Accent 11"/>
    <w:hidden/>
    <w:uiPriority w:val="71"/>
    <w:rsid w:val="00D801C4"/>
    <w:rPr>
      <w:rFonts w:cs="Arial"/>
      <w:szCs w:val="24"/>
    </w:rPr>
  </w:style>
  <w:style w:type="paragraph" w:styleId="TOC3">
    <w:name w:val="toc 3"/>
    <w:basedOn w:val="Normal"/>
    <w:next w:val="Normal"/>
    <w:autoRedefine/>
    <w:uiPriority w:val="39"/>
    <w:unhideWhenUsed/>
    <w:rsid w:val="005D5FE8"/>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97057">
      <w:bodyDiv w:val="1"/>
      <w:marLeft w:val="0"/>
      <w:marRight w:val="0"/>
      <w:marTop w:val="0"/>
      <w:marBottom w:val="0"/>
      <w:divBdr>
        <w:top w:val="none" w:sz="0" w:space="0" w:color="auto"/>
        <w:left w:val="none" w:sz="0" w:space="0" w:color="auto"/>
        <w:bottom w:val="none" w:sz="0" w:space="0" w:color="auto"/>
        <w:right w:val="none" w:sz="0" w:space="0" w:color="auto"/>
      </w:divBdr>
    </w:div>
    <w:div w:id="72702939">
      <w:bodyDiv w:val="1"/>
      <w:marLeft w:val="0"/>
      <w:marRight w:val="0"/>
      <w:marTop w:val="0"/>
      <w:marBottom w:val="0"/>
      <w:divBdr>
        <w:top w:val="none" w:sz="0" w:space="0" w:color="auto"/>
        <w:left w:val="none" w:sz="0" w:space="0" w:color="auto"/>
        <w:bottom w:val="none" w:sz="0" w:space="0" w:color="auto"/>
        <w:right w:val="none" w:sz="0" w:space="0" w:color="auto"/>
      </w:divBdr>
    </w:div>
    <w:div w:id="229460031">
      <w:bodyDiv w:val="1"/>
      <w:marLeft w:val="0"/>
      <w:marRight w:val="0"/>
      <w:marTop w:val="0"/>
      <w:marBottom w:val="0"/>
      <w:divBdr>
        <w:top w:val="none" w:sz="0" w:space="0" w:color="auto"/>
        <w:left w:val="none" w:sz="0" w:space="0" w:color="auto"/>
        <w:bottom w:val="none" w:sz="0" w:space="0" w:color="auto"/>
        <w:right w:val="none" w:sz="0" w:space="0" w:color="auto"/>
      </w:divBdr>
    </w:div>
    <w:div w:id="234752652">
      <w:bodyDiv w:val="1"/>
      <w:marLeft w:val="0"/>
      <w:marRight w:val="0"/>
      <w:marTop w:val="0"/>
      <w:marBottom w:val="0"/>
      <w:divBdr>
        <w:top w:val="none" w:sz="0" w:space="0" w:color="auto"/>
        <w:left w:val="none" w:sz="0" w:space="0" w:color="auto"/>
        <w:bottom w:val="none" w:sz="0" w:space="0" w:color="auto"/>
        <w:right w:val="none" w:sz="0" w:space="0" w:color="auto"/>
      </w:divBdr>
    </w:div>
    <w:div w:id="302004432">
      <w:bodyDiv w:val="1"/>
      <w:marLeft w:val="0"/>
      <w:marRight w:val="0"/>
      <w:marTop w:val="0"/>
      <w:marBottom w:val="0"/>
      <w:divBdr>
        <w:top w:val="none" w:sz="0" w:space="0" w:color="auto"/>
        <w:left w:val="none" w:sz="0" w:space="0" w:color="auto"/>
        <w:bottom w:val="none" w:sz="0" w:space="0" w:color="auto"/>
        <w:right w:val="none" w:sz="0" w:space="0" w:color="auto"/>
      </w:divBdr>
    </w:div>
    <w:div w:id="315576303">
      <w:bodyDiv w:val="1"/>
      <w:marLeft w:val="0"/>
      <w:marRight w:val="0"/>
      <w:marTop w:val="0"/>
      <w:marBottom w:val="0"/>
      <w:divBdr>
        <w:top w:val="none" w:sz="0" w:space="0" w:color="auto"/>
        <w:left w:val="none" w:sz="0" w:space="0" w:color="auto"/>
        <w:bottom w:val="none" w:sz="0" w:space="0" w:color="auto"/>
        <w:right w:val="none" w:sz="0" w:space="0" w:color="auto"/>
      </w:divBdr>
    </w:div>
    <w:div w:id="360086586">
      <w:bodyDiv w:val="1"/>
      <w:marLeft w:val="0"/>
      <w:marRight w:val="0"/>
      <w:marTop w:val="0"/>
      <w:marBottom w:val="0"/>
      <w:divBdr>
        <w:top w:val="none" w:sz="0" w:space="0" w:color="auto"/>
        <w:left w:val="none" w:sz="0" w:space="0" w:color="auto"/>
        <w:bottom w:val="none" w:sz="0" w:space="0" w:color="auto"/>
        <w:right w:val="none" w:sz="0" w:space="0" w:color="auto"/>
      </w:divBdr>
    </w:div>
    <w:div w:id="542987077">
      <w:bodyDiv w:val="1"/>
      <w:marLeft w:val="0"/>
      <w:marRight w:val="0"/>
      <w:marTop w:val="0"/>
      <w:marBottom w:val="0"/>
      <w:divBdr>
        <w:top w:val="none" w:sz="0" w:space="0" w:color="auto"/>
        <w:left w:val="none" w:sz="0" w:space="0" w:color="auto"/>
        <w:bottom w:val="none" w:sz="0" w:space="0" w:color="auto"/>
        <w:right w:val="none" w:sz="0" w:space="0" w:color="auto"/>
      </w:divBdr>
    </w:div>
    <w:div w:id="582880243">
      <w:bodyDiv w:val="1"/>
      <w:marLeft w:val="0"/>
      <w:marRight w:val="0"/>
      <w:marTop w:val="0"/>
      <w:marBottom w:val="0"/>
      <w:divBdr>
        <w:top w:val="none" w:sz="0" w:space="0" w:color="auto"/>
        <w:left w:val="none" w:sz="0" w:space="0" w:color="auto"/>
        <w:bottom w:val="none" w:sz="0" w:space="0" w:color="auto"/>
        <w:right w:val="none" w:sz="0" w:space="0" w:color="auto"/>
      </w:divBdr>
    </w:div>
    <w:div w:id="661813504">
      <w:bodyDiv w:val="1"/>
      <w:marLeft w:val="0"/>
      <w:marRight w:val="0"/>
      <w:marTop w:val="0"/>
      <w:marBottom w:val="0"/>
      <w:divBdr>
        <w:top w:val="none" w:sz="0" w:space="0" w:color="auto"/>
        <w:left w:val="none" w:sz="0" w:space="0" w:color="auto"/>
        <w:bottom w:val="none" w:sz="0" w:space="0" w:color="auto"/>
        <w:right w:val="none" w:sz="0" w:space="0" w:color="auto"/>
      </w:divBdr>
    </w:div>
    <w:div w:id="684788753">
      <w:bodyDiv w:val="1"/>
      <w:marLeft w:val="0"/>
      <w:marRight w:val="0"/>
      <w:marTop w:val="0"/>
      <w:marBottom w:val="0"/>
      <w:divBdr>
        <w:top w:val="none" w:sz="0" w:space="0" w:color="auto"/>
        <w:left w:val="none" w:sz="0" w:space="0" w:color="auto"/>
        <w:bottom w:val="none" w:sz="0" w:space="0" w:color="auto"/>
        <w:right w:val="none" w:sz="0" w:space="0" w:color="auto"/>
      </w:divBdr>
    </w:div>
    <w:div w:id="732585286">
      <w:bodyDiv w:val="1"/>
      <w:marLeft w:val="0"/>
      <w:marRight w:val="0"/>
      <w:marTop w:val="0"/>
      <w:marBottom w:val="0"/>
      <w:divBdr>
        <w:top w:val="none" w:sz="0" w:space="0" w:color="auto"/>
        <w:left w:val="none" w:sz="0" w:space="0" w:color="auto"/>
        <w:bottom w:val="none" w:sz="0" w:space="0" w:color="auto"/>
        <w:right w:val="none" w:sz="0" w:space="0" w:color="auto"/>
      </w:divBdr>
    </w:div>
    <w:div w:id="766658274">
      <w:bodyDiv w:val="1"/>
      <w:marLeft w:val="0"/>
      <w:marRight w:val="0"/>
      <w:marTop w:val="0"/>
      <w:marBottom w:val="0"/>
      <w:divBdr>
        <w:top w:val="none" w:sz="0" w:space="0" w:color="auto"/>
        <w:left w:val="none" w:sz="0" w:space="0" w:color="auto"/>
        <w:bottom w:val="none" w:sz="0" w:space="0" w:color="auto"/>
        <w:right w:val="none" w:sz="0" w:space="0" w:color="auto"/>
      </w:divBdr>
    </w:div>
    <w:div w:id="789282405">
      <w:bodyDiv w:val="1"/>
      <w:marLeft w:val="0"/>
      <w:marRight w:val="0"/>
      <w:marTop w:val="0"/>
      <w:marBottom w:val="0"/>
      <w:divBdr>
        <w:top w:val="none" w:sz="0" w:space="0" w:color="auto"/>
        <w:left w:val="none" w:sz="0" w:space="0" w:color="auto"/>
        <w:bottom w:val="none" w:sz="0" w:space="0" w:color="auto"/>
        <w:right w:val="none" w:sz="0" w:space="0" w:color="auto"/>
      </w:divBdr>
    </w:div>
    <w:div w:id="838539531">
      <w:bodyDiv w:val="1"/>
      <w:marLeft w:val="0"/>
      <w:marRight w:val="0"/>
      <w:marTop w:val="0"/>
      <w:marBottom w:val="0"/>
      <w:divBdr>
        <w:top w:val="none" w:sz="0" w:space="0" w:color="auto"/>
        <w:left w:val="none" w:sz="0" w:space="0" w:color="auto"/>
        <w:bottom w:val="none" w:sz="0" w:space="0" w:color="auto"/>
        <w:right w:val="none" w:sz="0" w:space="0" w:color="auto"/>
      </w:divBdr>
    </w:div>
    <w:div w:id="850680068">
      <w:bodyDiv w:val="1"/>
      <w:marLeft w:val="0"/>
      <w:marRight w:val="0"/>
      <w:marTop w:val="0"/>
      <w:marBottom w:val="0"/>
      <w:divBdr>
        <w:top w:val="none" w:sz="0" w:space="0" w:color="auto"/>
        <w:left w:val="none" w:sz="0" w:space="0" w:color="auto"/>
        <w:bottom w:val="none" w:sz="0" w:space="0" w:color="auto"/>
        <w:right w:val="none" w:sz="0" w:space="0" w:color="auto"/>
      </w:divBdr>
    </w:div>
    <w:div w:id="860434578">
      <w:bodyDiv w:val="1"/>
      <w:marLeft w:val="0"/>
      <w:marRight w:val="0"/>
      <w:marTop w:val="0"/>
      <w:marBottom w:val="0"/>
      <w:divBdr>
        <w:top w:val="none" w:sz="0" w:space="0" w:color="auto"/>
        <w:left w:val="none" w:sz="0" w:space="0" w:color="auto"/>
        <w:bottom w:val="none" w:sz="0" w:space="0" w:color="auto"/>
        <w:right w:val="none" w:sz="0" w:space="0" w:color="auto"/>
      </w:divBdr>
    </w:div>
    <w:div w:id="892426292">
      <w:bodyDiv w:val="1"/>
      <w:marLeft w:val="0"/>
      <w:marRight w:val="0"/>
      <w:marTop w:val="0"/>
      <w:marBottom w:val="0"/>
      <w:divBdr>
        <w:top w:val="none" w:sz="0" w:space="0" w:color="auto"/>
        <w:left w:val="none" w:sz="0" w:space="0" w:color="auto"/>
        <w:bottom w:val="none" w:sz="0" w:space="0" w:color="auto"/>
        <w:right w:val="none" w:sz="0" w:space="0" w:color="auto"/>
      </w:divBdr>
    </w:div>
    <w:div w:id="895816792">
      <w:bodyDiv w:val="1"/>
      <w:marLeft w:val="0"/>
      <w:marRight w:val="0"/>
      <w:marTop w:val="0"/>
      <w:marBottom w:val="0"/>
      <w:divBdr>
        <w:top w:val="none" w:sz="0" w:space="0" w:color="auto"/>
        <w:left w:val="none" w:sz="0" w:space="0" w:color="auto"/>
        <w:bottom w:val="none" w:sz="0" w:space="0" w:color="auto"/>
        <w:right w:val="none" w:sz="0" w:space="0" w:color="auto"/>
      </w:divBdr>
    </w:div>
    <w:div w:id="906067026">
      <w:bodyDiv w:val="1"/>
      <w:marLeft w:val="0"/>
      <w:marRight w:val="0"/>
      <w:marTop w:val="0"/>
      <w:marBottom w:val="0"/>
      <w:divBdr>
        <w:top w:val="none" w:sz="0" w:space="0" w:color="auto"/>
        <w:left w:val="none" w:sz="0" w:space="0" w:color="auto"/>
        <w:bottom w:val="none" w:sz="0" w:space="0" w:color="auto"/>
        <w:right w:val="none" w:sz="0" w:space="0" w:color="auto"/>
      </w:divBdr>
    </w:div>
    <w:div w:id="969749505">
      <w:bodyDiv w:val="1"/>
      <w:marLeft w:val="0"/>
      <w:marRight w:val="0"/>
      <w:marTop w:val="0"/>
      <w:marBottom w:val="0"/>
      <w:divBdr>
        <w:top w:val="none" w:sz="0" w:space="0" w:color="auto"/>
        <w:left w:val="none" w:sz="0" w:space="0" w:color="auto"/>
        <w:bottom w:val="none" w:sz="0" w:space="0" w:color="auto"/>
        <w:right w:val="none" w:sz="0" w:space="0" w:color="auto"/>
      </w:divBdr>
    </w:div>
    <w:div w:id="980577511">
      <w:bodyDiv w:val="1"/>
      <w:marLeft w:val="0"/>
      <w:marRight w:val="0"/>
      <w:marTop w:val="0"/>
      <w:marBottom w:val="0"/>
      <w:divBdr>
        <w:top w:val="none" w:sz="0" w:space="0" w:color="auto"/>
        <w:left w:val="none" w:sz="0" w:space="0" w:color="auto"/>
        <w:bottom w:val="none" w:sz="0" w:space="0" w:color="auto"/>
        <w:right w:val="none" w:sz="0" w:space="0" w:color="auto"/>
      </w:divBdr>
    </w:div>
    <w:div w:id="1039285496">
      <w:bodyDiv w:val="1"/>
      <w:marLeft w:val="0"/>
      <w:marRight w:val="0"/>
      <w:marTop w:val="0"/>
      <w:marBottom w:val="0"/>
      <w:divBdr>
        <w:top w:val="none" w:sz="0" w:space="0" w:color="auto"/>
        <w:left w:val="none" w:sz="0" w:space="0" w:color="auto"/>
        <w:bottom w:val="none" w:sz="0" w:space="0" w:color="auto"/>
        <w:right w:val="none" w:sz="0" w:space="0" w:color="auto"/>
      </w:divBdr>
    </w:div>
    <w:div w:id="1039668699">
      <w:bodyDiv w:val="1"/>
      <w:marLeft w:val="0"/>
      <w:marRight w:val="0"/>
      <w:marTop w:val="0"/>
      <w:marBottom w:val="0"/>
      <w:divBdr>
        <w:top w:val="none" w:sz="0" w:space="0" w:color="auto"/>
        <w:left w:val="none" w:sz="0" w:space="0" w:color="auto"/>
        <w:bottom w:val="none" w:sz="0" w:space="0" w:color="auto"/>
        <w:right w:val="none" w:sz="0" w:space="0" w:color="auto"/>
      </w:divBdr>
    </w:div>
    <w:div w:id="1055540486">
      <w:bodyDiv w:val="1"/>
      <w:marLeft w:val="0"/>
      <w:marRight w:val="0"/>
      <w:marTop w:val="0"/>
      <w:marBottom w:val="0"/>
      <w:divBdr>
        <w:top w:val="none" w:sz="0" w:space="0" w:color="auto"/>
        <w:left w:val="none" w:sz="0" w:space="0" w:color="auto"/>
        <w:bottom w:val="none" w:sz="0" w:space="0" w:color="auto"/>
        <w:right w:val="none" w:sz="0" w:space="0" w:color="auto"/>
      </w:divBdr>
    </w:div>
    <w:div w:id="1130325453">
      <w:bodyDiv w:val="1"/>
      <w:marLeft w:val="0"/>
      <w:marRight w:val="0"/>
      <w:marTop w:val="0"/>
      <w:marBottom w:val="0"/>
      <w:divBdr>
        <w:top w:val="none" w:sz="0" w:space="0" w:color="auto"/>
        <w:left w:val="none" w:sz="0" w:space="0" w:color="auto"/>
        <w:bottom w:val="none" w:sz="0" w:space="0" w:color="auto"/>
        <w:right w:val="none" w:sz="0" w:space="0" w:color="auto"/>
      </w:divBdr>
    </w:div>
    <w:div w:id="1281566301">
      <w:bodyDiv w:val="1"/>
      <w:marLeft w:val="0"/>
      <w:marRight w:val="0"/>
      <w:marTop w:val="0"/>
      <w:marBottom w:val="0"/>
      <w:divBdr>
        <w:top w:val="none" w:sz="0" w:space="0" w:color="auto"/>
        <w:left w:val="none" w:sz="0" w:space="0" w:color="auto"/>
        <w:bottom w:val="none" w:sz="0" w:space="0" w:color="auto"/>
        <w:right w:val="none" w:sz="0" w:space="0" w:color="auto"/>
      </w:divBdr>
    </w:div>
    <w:div w:id="1308515407">
      <w:bodyDiv w:val="1"/>
      <w:marLeft w:val="0"/>
      <w:marRight w:val="0"/>
      <w:marTop w:val="0"/>
      <w:marBottom w:val="0"/>
      <w:divBdr>
        <w:top w:val="none" w:sz="0" w:space="0" w:color="auto"/>
        <w:left w:val="none" w:sz="0" w:space="0" w:color="auto"/>
        <w:bottom w:val="none" w:sz="0" w:space="0" w:color="auto"/>
        <w:right w:val="none" w:sz="0" w:space="0" w:color="auto"/>
      </w:divBdr>
    </w:div>
    <w:div w:id="1457986288">
      <w:bodyDiv w:val="1"/>
      <w:marLeft w:val="0"/>
      <w:marRight w:val="0"/>
      <w:marTop w:val="0"/>
      <w:marBottom w:val="0"/>
      <w:divBdr>
        <w:top w:val="none" w:sz="0" w:space="0" w:color="auto"/>
        <w:left w:val="none" w:sz="0" w:space="0" w:color="auto"/>
        <w:bottom w:val="none" w:sz="0" w:space="0" w:color="auto"/>
        <w:right w:val="none" w:sz="0" w:space="0" w:color="auto"/>
      </w:divBdr>
    </w:div>
    <w:div w:id="1476028053">
      <w:bodyDiv w:val="1"/>
      <w:marLeft w:val="0"/>
      <w:marRight w:val="0"/>
      <w:marTop w:val="0"/>
      <w:marBottom w:val="0"/>
      <w:divBdr>
        <w:top w:val="none" w:sz="0" w:space="0" w:color="auto"/>
        <w:left w:val="none" w:sz="0" w:space="0" w:color="auto"/>
        <w:bottom w:val="none" w:sz="0" w:space="0" w:color="auto"/>
        <w:right w:val="none" w:sz="0" w:space="0" w:color="auto"/>
      </w:divBdr>
    </w:div>
    <w:div w:id="1499468790">
      <w:bodyDiv w:val="1"/>
      <w:marLeft w:val="0"/>
      <w:marRight w:val="0"/>
      <w:marTop w:val="0"/>
      <w:marBottom w:val="0"/>
      <w:divBdr>
        <w:top w:val="none" w:sz="0" w:space="0" w:color="auto"/>
        <w:left w:val="none" w:sz="0" w:space="0" w:color="auto"/>
        <w:bottom w:val="none" w:sz="0" w:space="0" w:color="auto"/>
        <w:right w:val="none" w:sz="0" w:space="0" w:color="auto"/>
      </w:divBdr>
    </w:div>
    <w:div w:id="1513954178">
      <w:bodyDiv w:val="1"/>
      <w:marLeft w:val="0"/>
      <w:marRight w:val="0"/>
      <w:marTop w:val="0"/>
      <w:marBottom w:val="0"/>
      <w:divBdr>
        <w:top w:val="none" w:sz="0" w:space="0" w:color="auto"/>
        <w:left w:val="none" w:sz="0" w:space="0" w:color="auto"/>
        <w:bottom w:val="none" w:sz="0" w:space="0" w:color="auto"/>
        <w:right w:val="none" w:sz="0" w:space="0" w:color="auto"/>
      </w:divBdr>
    </w:div>
    <w:div w:id="1536230812">
      <w:bodyDiv w:val="1"/>
      <w:marLeft w:val="0"/>
      <w:marRight w:val="0"/>
      <w:marTop w:val="0"/>
      <w:marBottom w:val="0"/>
      <w:divBdr>
        <w:top w:val="none" w:sz="0" w:space="0" w:color="auto"/>
        <w:left w:val="none" w:sz="0" w:space="0" w:color="auto"/>
        <w:bottom w:val="none" w:sz="0" w:space="0" w:color="auto"/>
        <w:right w:val="none" w:sz="0" w:space="0" w:color="auto"/>
      </w:divBdr>
    </w:div>
    <w:div w:id="1549755932">
      <w:bodyDiv w:val="1"/>
      <w:marLeft w:val="0"/>
      <w:marRight w:val="0"/>
      <w:marTop w:val="0"/>
      <w:marBottom w:val="0"/>
      <w:divBdr>
        <w:top w:val="none" w:sz="0" w:space="0" w:color="auto"/>
        <w:left w:val="none" w:sz="0" w:space="0" w:color="auto"/>
        <w:bottom w:val="none" w:sz="0" w:space="0" w:color="auto"/>
        <w:right w:val="none" w:sz="0" w:space="0" w:color="auto"/>
      </w:divBdr>
    </w:div>
    <w:div w:id="1581787722">
      <w:bodyDiv w:val="1"/>
      <w:marLeft w:val="0"/>
      <w:marRight w:val="0"/>
      <w:marTop w:val="0"/>
      <w:marBottom w:val="0"/>
      <w:divBdr>
        <w:top w:val="none" w:sz="0" w:space="0" w:color="auto"/>
        <w:left w:val="none" w:sz="0" w:space="0" w:color="auto"/>
        <w:bottom w:val="none" w:sz="0" w:space="0" w:color="auto"/>
        <w:right w:val="none" w:sz="0" w:space="0" w:color="auto"/>
      </w:divBdr>
    </w:div>
    <w:div w:id="1602105143">
      <w:bodyDiv w:val="1"/>
      <w:marLeft w:val="0"/>
      <w:marRight w:val="0"/>
      <w:marTop w:val="0"/>
      <w:marBottom w:val="0"/>
      <w:divBdr>
        <w:top w:val="none" w:sz="0" w:space="0" w:color="auto"/>
        <w:left w:val="none" w:sz="0" w:space="0" w:color="auto"/>
        <w:bottom w:val="none" w:sz="0" w:space="0" w:color="auto"/>
        <w:right w:val="none" w:sz="0" w:space="0" w:color="auto"/>
      </w:divBdr>
    </w:div>
    <w:div w:id="1637484961">
      <w:bodyDiv w:val="1"/>
      <w:marLeft w:val="0"/>
      <w:marRight w:val="0"/>
      <w:marTop w:val="0"/>
      <w:marBottom w:val="0"/>
      <w:divBdr>
        <w:top w:val="none" w:sz="0" w:space="0" w:color="auto"/>
        <w:left w:val="none" w:sz="0" w:space="0" w:color="auto"/>
        <w:bottom w:val="none" w:sz="0" w:space="0" w:color="auto"/>
        <w:right w:val="none" w:sz="0" w:space="0" w:color="auto"/>
      </w:divBdr>
    </w:div>
    <w:div w:id="1784155227">
      <w:bodyDiv w:val="1"/>
      <w:marLeft w:val="0"/>
      <w:marRight w:val="0"/>
      <w:marTop w:val="0"/>
      <w:marBottom w:val="0"/>
      <w:divBdr>
        <w:top w:val="none" w:sz="0" w:space="0" w:color="auto"/>
        <w:left w:val="none" w:sz="0" w:space="0" w:color="auto"/>
        <w:bottom w:val="none" w:sz="0" w:space="0" w:color="auto"/>
        <w:right w:val="none" w:sz="0" w:space="0" w:color="auto"/>
      </w:divBdr>
    </w:div>
    <w:div w:id="1785808331">
      <w:bodyDiv w:val="1"/>
      <w:marLeft w:val="0"/>
      <w:marRight w:val="0"/>
      <w:marTop w:val="0"/>
      <w:marBottom w:val="0"/>
      <w:divBdr>
        <w:top w:val="none" w:sz="0" w:space="0" w:color="auto"/>
        <w:left w:val="none" w:sz="0" w:space="0" w:color="auto"/>
        <w:bottom w:val="none" w:sz="0" w:space="0" w:color="auto"/>
        <w:right w:val="none" w:sz="0" w:space="0" w:color="auto"/>
      </w:divBdr>
    </w:div>
    <w:div w:id="1840999379">
      <w:bodyDiv w:val="1"/>
      <w:marLeft w:val="0"/>
      <w:marRight w:val="0"/>
      <w:marTop w:val="0"/>
      <w:marBottom w:val="0"/>
      <w:divBdr>
        <w:top w:val="none" w:sz="0" w:space="0" w:color="auto"/>
        <w:left w:val="none" w:sz="0" w:space="0" w:color="auto"/>
        <w:bottom w:val="none" w:sz="0" w:space="0" w:color="auto"/>
        <w:right w:val="none" w:sz="0" w:space="0" w:color="auto"/>
      </w:divBdr>
    </w:div>
    <w:div w:id="1892307497">
      <w:bodyDiv w:val="1"/>
      <w:marLeft w:val="0"/>
      <w:marRight w:val="0"/>
      <w:marTop w:val="0"/>
      <w:marBottom w:val="0"/>
      <w:divBdr>
        <w:top w:val="none" w:sz="0" w:space="0" w:color="auto"/>
        <w:left w:val="none" w:sz="0" w:space="0" w:color="auto"/>
        <w:bottom w:val="none" w:sz="0" w:space="0" w:color="auto"/>
        <w:right w:val="none" w:sz="0" w:space="0" w:color="auto"/>
      </w:divBdr>
    </w:div>
    <w:div w:id="1902445168">
      <w:bodyDiv w:val="1"/>
      <w:marLeft w:val="0"/>
      <w:marRight w:val="0"/>
      <w:marTop w:val="0"/>
      <w:marBottom w:val="0"/>
      <w:divBdr>
        <w:top w:val="none" w:sz="0" w:space="0" w:color="auto"/>
        <w:left w:val="none" w:sz="0" w:space="0" w:color="auto"/>
        <w:bottom w:val="none" w:sz="0" w:space="0" w:color="auto"/>
        <w:right w:val="none" w:sz="0" w:space="0" w:color="auto"/>
      </w:divBdr>
    </w:div>
    <w:div w:id="2003192746">
      <w:bodyDiv w:val="1"/>
      <w:marLeft w:val="0"/>
      <w:marRight w:val="0"/>
      <w:marTop w:val="0"/>
      <w:marBottom w:val="0"/>
      <w:divBdr>
        <w:top w:val="none" w:sz="0" w:space="0" w:color="auto"/>
        <w:left w:val="none" w:sz="0" w:space="0" w:color="auto"/>
        <w:bottom w:val="none" w:sz="0" w:space="0" w:color="auto"/>
        <w:right w:val="none" w:sz="0" w:space="0" w:color="auto"/>
      </w:divBdr>
    </w:div>
    <w:div w:id="2083872188">
      <w:bodyDiv w:val="1"/>
      <w:marLeft w:val="0"/>
      <w:marRight w:val="0"/>
      <w:marTop w:val="0"/>
      <w:marBottom w:val="0"/>
      <w:divBdr>
        <w:top w:val="none" w:sz="0" w:space="0" w:color="auto"/>
        <w:left w:val="none" w:sz="0" w:space="0" w:color="auto"/>
        <w:bottom w:val="none" w:sz="0" w:space="0" w:color="auto"/>
        <w:right w:val="none" w:sz="0" w:space="0" w:color="auto"/>
      </w:divBdr>
    </w:div>
    <w:div w:id="2093620755">
      <w:bodyDiv w:val="1"/>
      <w:marLeft w:val="0"/>
      <w:marRight w:val="0"/>
      <w:marTop w:val="0"/>
      <w:marBottom w:val="0"/>
      <w:divBdr>
        <w:top w:val="none" w:sz="0" w:space="0" w:color="auto"/>
        <w:left w:val="none" w:sz="0" w:space="0" w:color="auto"/>
        <w:bottom w:val="none" w:sz="0" w:space="0" w:color="auto"/>
        <w:right w:val="none" w:sz="0" w:space="0" w:color="auto"/>
      </w:divBdr>
    </w:div>
    <w:div w:id="211389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28829-1973-4034-867E-73A9AFFE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22</Pages>
  <Words>8034</Words>
  <Characters>45796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Wealth Management Plan, Part Two: IPS</vt:lpstr>
    </vt:vector>
  </TitlesOfParts>
  <Company>CEG Worldwide, LLC</Company>
  <LinksUpToDate>false</LinksUpToDate>
  <CharactersWithSpaces>53723</CharactersWithSpaces>
  <SharedDoc>false</SharedDoc>
  <HLinks>
    <vt:vector size="66" baseType="variant">
      <vt:variant>
        <vt:i4>1769520</vt:i4>
      </vt:variant>
      <vt:variant>
        <vt:i4>62</vt:i4>
      </vt:variant>
      <vt:variant>
        <vt:i4>0</vt:i4>
      </vt:variant>
      <vt:variant>
        <vt:i4>5</vt:i4>
      </vt:variant>
      <vt:variant>
        <vt:lpwstr/>
      </vt:variant>
      <vt:variant>
        <vt:lpwstr>_Toc412470198</vt:lpwstr>
      </vt:variant>
      <vt:variant>
        <vt:i4>1769520</vt:i4>
      </vt:variant>
      <vt:variant>
        <vt:i4>56</vt:i4>
      </vt:variant>
      <vt:variant>
        <vt:i4>0</vt:i4>
      </vt:variant>
      <vt:variant>
        <vt:i4>5</vt:i4>
      </vt:variant>
      <vt:variant>
        <vt:lpwstr/>
      </vt:variant>
      <vt:variant>
        <vt:lpwstr>_Toc412470197</vt:lpwstr>
      </vt:variant>
      <vt:variant>
        <vt:i4>1769520</vt:i4>
      </vt:variant>
      <vt:variant>
        <vt:i4>50</vt:i4>
      </vt:variant>
      <vt:variant>
        <vt:i4>0</vt:i4>
      </vt:variant>
      <vt:variant>
        <vt:i4>5</vt:i4>
      </vt:variant>
      <vt:variant>
        <vt:lpwstr/>
      </vt:variant>
      <vt:variant>
        <vt:lpwstr>_Toc412470196</vt:lpwstr>
      </vt:variant>
      <vt:variant>
        <vt:i4>1769520</vt:i4>
      </vt:variant>
      <vt:variant>
        <vt:i4>44</vt:i4>
      </vt:variant>
      <vt:variant>
        <vt:i4>0</vt:i4>
      </vt:variant>
      <vt:variant>
        <vt:i4>5</vt:i4>
      </vt:variant>
      <vt:variant>
        <vt:lpwstr/>
      </vt:variant>
      <vt:variant>
        <vt:lpwstr>_Toc412470195</vt:lpwstr>
      </vt:variant>
      <vt:variant>
        <vt:i4>1769520</vt:i4>
      </vt:variant>
      <vt:variant>
        <vt:i4>38</vt:i4>
      </vt:variant>
      <vt:variant>
        <vt:i4>0</vt:i4>
      </vt:variant>
      <vt:variant>
        <vt:i4>5</vt:i4>
      </vt:variant>
      <vt:variant>
        <vt:lpwstr/>
      </vt:variant>
      <vt:variant>
        <vt:lpwstr>_Toc412470194</vt:lpwstr>
      </vt:variant>
      <vt:variant>
        <vt:i4>1769520</vt:i4>
      </vt:variant>
      <vt:variant>
        <vt:i4>32</vt:i4>
      </vt:variant>
      <vt:variant>
        <vt:i4>0</vt:i4>
      </vt:variant>
      <vt:variant>
        <vt:i4>5</vt:i4>
      </vt:variant>
      <vt:variant>
        <vt:lpwstr/>
      </vt:variant>
      <vt:variant>
        <vt:lpwstr>_Toc412470193</vt:lpwstr>
      </vt:variant>
      <vt:variant>
        <vt:i4>1769520</vt:i4>
      </vt:variant>
      <vt:variant>
        <vt:i4>26</vt:i4>
      </vt:variant>
      <vt:variant>
        <vt:i4>0</vt:i4>
      </vt:variant>
      <vt:variant>
        <vt:i4>5</vt:i4>
      </vt:variant>
      <vt:variant>
        <vt:lpwstr/>
      </vt:variant>
      <vt:variant>
        <vt:lpwstr>_Toc412470192</vt:lpwstr>
      </vt:variant>
      <vt:variant>
        <vt:i4>1769520</vt:i4>
      </vt:variant>
      <vt:variant>
        <vt:i4>20</vt:i4>
      </vt:variant>
      <vt:variant>
        <vt:i4>0</vt:i4>
      </vt:variant>
      <vt:variant>
        <vt:i4>5</vt:i4>
      </vt:variant>
      <vt:variant>
        <vt:lpwstr/>
      </vt:variant>
      <vt:variant>
        <vt:lpwstr>_Toc412470191</vt:lpwstr>
      </vt:variant>
      <vt:variant>
        <vt:i4>1769520</vt:i4>
      </vt:variant>
      <vt:variant>
        <vt:i4>14</vt:i4>
      </vt:variant>
      <vt:variant>
        <vt:i4>0</vt:i4>
      </vt:variant>
      <vt:variant>
        <vt:i4>5</vt:i4>
      </vt:variant>
      <vt:variant>
        <vt:lpwstr/>
      </vt:variant>
      <vt:variant>
        <vt:lpwstr>_Toc412470190</vt:lpwstr>
      </vt:variant>
      <vt:variant>
        <vt:i4>1703984</vt:i4>
      </vt:variant>
      <vt:variant>
        <vt:i4>8</vt:i4>
      </vt:variant>
      <vt:variant>
        <vt:i4>0</vt:i4>
      </vt:variant>
      <vt:variant>
        <vt:i4>5</vt:i4>
      </vt:variant>
      <vt:variant>
        <vt:lpwstr/>
      </vt:variant>
      <vt:variant>
        <vt:lpwstr>_Toc412470189</vt:lpwstr>
      </vt:variant>
      <vt:variant>
        <vt:i4>1703984</vt:i4>
      </vt:variant>
      <vt:variant>
        <vt:i4>2</vt:i4>
      </vt:variant>
      <vt:variant>
        <vt:i4>0</vt:i4>
      </vt:variant>
      <vt:variant>
        <vt:i4>5</vt:i4>
      </vt:variant>
      <vt:variant>
        <vt:lpwstr/>
      </vt:variant>
      <vt:variant>
        <vt:lpwstr>_Toc412470188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Wealth Management Plan, Part Two: IPS</dc:title>
  <dc:subject/>
  <dc:creator>CEG Worldwide, LLC</dc:creator>
  <cp:keywords/>
  <dc:description>File name: S5 WM Plan Part 2-2020.docx. Downloadable from EWM Strategy 5. Updated July 2020.</dc:description>
  <cp:lastModifiedBy>Katie Soden</cp:lastModifiedBy>
  <cp:revision>20</cp:revision>
  <cp:lastPrinted>2014-11-24T20:55:00Z</cp:lastPrinted>
  <dcterms:created xsi:type="dcterms:W3CDTF">2019-04-08T23:10:00Z</dcterms:created>
  <dcterms:modified xsi:type="dcterms:W3CDTF">2020-07-08T22:27:00Z</dcterms:modified>
  <cp:contentStatus>Wealth Management Plan, Part 2 (IPS), updated March 2013.</cp:contentStatus>
</cp:coreProperties>
</file>